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2025年-2026年临江公司工业葡萄糖采购项目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202511007</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2025年-2026年临江公司工业葡萄糖采购项目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202511007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2025年-2026年临江公司工业葡萄糖采购项目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24.30</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工业葡萄糖</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合同期限：</w:t>
      </w:r>
      <w:r>
        <w:rPr>
          <w:rFonts w:hint="eastAsia" w:cs="仿宋" w:asciiTheme="minorEastAsia" w:hAnsiTheme="minorEastAsia"/>
          <w:b w:val="0"/>
          <w:bCs w:val="0"/>
          <w:color w:val="auto"/>
          <w:sz w:val="24"/>
          <w:highlight w:val="none"/>
          <w:u w:val="single"/>
          <w:lang w:val="en-US" w:eastAsia="zh-CN"/>
        </w:rPr>
        <w:t>自合同签订起12个月</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bCs/>
          <w:sz w:val="24"/>
          <w:u w:val="single"/>
          <w:lang w:val="en-US" w:eastAsia="zh-CN"/>
        </w:rPr>
        <w:t>工业</w:t>
      </w:r>
      <w:r>
        <w:rPr>
          <w:rFonts w:hint="eastAsia" w:cs="仿宋" w:asciiTheme="minorEastAsia" w:hAnsiTheme="minorEastAsia"/>
          <w:sz w:val="24"/>
          <w:u w:val="single"/>
          <w:lang w:val="en-US" w:eastAsia="zh-CN"/>
        </w:rPr>
        <w:t>葡萄糖销售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4800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color w:val="auto"/>
          <w:sz w:val="24"/>
          <w:u w:val="single"/>
          <w:lang w:val="en-US" w:eastAsia="zh-CN"/>
        </w:rPr>
        <w:t>2025年-2026年临江公司工业葡萄糖采购项目询价保证金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w:t>
      </w:r>
      <w:bookmarkStart w:id="517" w:name="_GoBack"/>
      <w:bookmarkEnd w:id="517"/>
      <w:r>
        <w:rPr>
          <w:rFonts w:hint="eastAsia" w:cs="仿宋" w:asciiTheme="minorEastAsia" w:hAnsiTheme="minorEastAsia"/>
          <w:color w:val="auto"/>
          <w:sz w:val="24"/>
          <w:lang w:val="en-US" w:eastAsia="zh-CN"/>
        </w:rPr>
        <w:t>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11月10</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5196598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7"/>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工业葡萄糖</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57"/>
        <w:gridCol w:w="2538"/>
        <w:gridCol w:w="696"/>
        <w:gridCol w:w="1143"/>
        <w:gridCol w:w="664"/>
        <w:gridCol w:w="676"/>
        <w:gridCol w:w="1350"/>
      </w:tblGrid>
      <w:tr w14:paraId="7C05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7"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538"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96"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43"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664"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6"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350" w:type="dxa"/>
            <w:vAlign w:val="center"/>
          </w:tcPr>
          <w:p w14:paraId="1C57F1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B62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057"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工业葡萄糖</w:t>
            </w:r>
          </w:p>
        </w:tc>
        <w:tc>
          <w:tcPr>
            <w:tcW w:w="2538" w:type="dxa"/>
            <w:vAlign w:val="center"/>
          </w:tcPr>
          <w:p w14:paraId="23AFB35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DE值≥90%；固形物≥80%；PH 值：4.0-6.0，CODCr值≥80万 mg/L，</w:t>
            </w:r>
          </w:p>
        </w:tc>
        <w:tc>
          <w:tcPr>
            <w:tcW w:w="696"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43"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rPr>
              <w:t>25KG袋装</w:t>
            </w:r>
          </w:p>
        </w:tc>
        <w:tc>
          <w:tcPr>
            <w:tcW w:w="664"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676"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350" w:type="dxa"/>
            <w:vAlign w:val="center"/>
          </w:tcPr>
          <w:p w14:paraId="7BD460E0">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能源运行中心50吨，三固运行中心40吨</w:t>
            </w:r>
          </w:p>
        </w:tc>
      </w:tr>
    </w:tbl>
    <w:p w14:paraId="5C073101">
      <w:pPr>
        <w:pStyle w:val="7"/>
        <w:ind w:firstLine="482" w:firstLineChars="200"/>
        <w:rPr>
          <w:rFonts w:hint="eastAsia"/>
          <w:b/>
          <w:bCs/>
          <w:lang w:val="en-US" w:eastAsia="zh-CN"/>
        </w:rPr>
      </w:pPr>
      <w:r>
        <w:rPr>
          <w:rFonts w:hint="eastAsia"/>
          <w:b/>
          <w:bCs/>
          <w:lang w:val="en-US" w:eastAsia="zh-CN"/>
        </w:rPr>
        <w:t>二、合同期限</w:t>
      </w:r>
      <w:r>
        <w:rPr>
          <w:rFonts w:hint="eastAsia"/>
          <w:b/>
          <w:bCs/>
          <w:u w:val="single"/>
          <w:lang w:val="en-US" w:eastAsia="zh-CN"/>
        </w:rPr>
        <w:t>：自合同签订后12个月</w:t>
      </w:r>
      <w:r>
        <w:rPr>
          <w:rFonts w:hint="eastAsia"/>
          <w:b/>
          <w:bCs/>
          <w:lang w:val="en-US" w:eastAsia="zh-CN"/>
        </w:rPr>
        <w:t>；</w:t>
      </w:r>
    </w:p>
    <w:p w14:paraId="6699F4AF">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7"/>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598EF633">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3DA3FE40">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货物交付时，采购人在组织自检，自检主要指标为COD和DE值，检测结果满足合同要求，视为验收合格。双方组织卸货；检测结果不满足合同要求，供应商需在24小时内免费无条件退换货。若供应商对采购人自检结果提出异议的，采购人将货物样品送第三方检测机构进行检测，供应商需认可有资质的检测单位出具的检测数据。若采购人自检验收和第三方检测机构检测结果不一致时，以第三方检测机构检测为准。第三方检测机构费用由责任方承担。</w:t>
      </w:r>
    </w:p>
    <w:p w14:paraId="2EEF8759">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698AD8B1">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w:t>
      </w:r>
      <w:r>
        <w:rPr>
          <w:rFonts w:hint="eastAsia"/>
          <w:highlight w:val="none"/>
          <w:lang w:val="en-US" w:eastAsia="zh-CN"/>
        </w:rPr>
        <w:t>分批次</w:t>
      </w:r>
      <w:r>
        <w:rPr>
          <w:rFonts w:hint="eastAsia"/>
          <w:highlight w:val="none"/>
          <w:lang w:val="en-US"/>
        </w:rPr>
        <w:t>供货，</w:t>
      </w:r>
      <w:r>
        <w:rPr>
          <w:rFonts w:hint="eastAsia" w:ascii="宋体"/>
          <w:highlight w:val="none"/>
          <w:lang w:val="en-US" w:eastAsia="zh-CN"/>
        </w:rPr>
        <w:t>每次供货</w:t>
      </w:r>
      <w:r>
        <w:rPr>
          <w:rFonts w:hint="eastAsia"/>
          <w:highlight w:val="none"/>
          <w:lang w:val="en-US" w:eastAsia="zh-CN"/>
        </w:rPr>
        <w:t>约</w:t>
      </w:r>
      <w:r>
        <w:rPr>
          <w:rFonts w:hint="eastAsia" w:ascii="宋体"/>
          <w:highlight w:val="none"/>
          <w:lang w:val="en-US" w:eastAsia="zh-CN"/>
        </w:rPr>
        <w:t>10吨</w:t>
      </w:r>
      <w:r>
        <w:rPr>
          <w:rFonts w:hint="eastAsia"/>
          <w:highlight w:val="none"/>
          <w:lang w:val="en-US" w:eastAsia="zh-CN"/>
        </w:rPr>
        <w:t>左右</w:t>
      </w:r>
      <w:r>
        <w:rPr>
          <w:rFonts w:hint="eastAsia" w:ascii="宋体"/>
          <w:highlight w:val="none"/>
          <w:lang w:val="en-US" w:eastAsia="zh-CN"/>
        </w:rPr>
        <w:t>，供应商负责在接到采购人电话或书面通知后在3个工作日内完成</w:t>
      </w:r>
      <w:r>
        <w:rPr>
          <w:rFonts w:hint="eastAsia"/>
          <w:highlight w:val="none"/>
          <w:lang w:val="en-US"/>
        </w:rPr>
        <w:t>供货。</w:t>
      </w:r>
    </w:p>
    <w:p w14:paraId="4AA31743">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E277AE7">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41"/>
      <w:bookmarkEnd w:id="19"/>
      <w:bookmarkStart w:id="20" w:name="_Toc184308091"/>
      <w:bookmarkEnd w:id="20"/>
      <w:bookmarkStart w:id="21" w:name="_Toc184312092"/>
      <w:bookmarkEnd w:id="21"/>
      <w:bookmarkStart w:id="22" w:name="_Toc184312101"/>
      <w:bookmarkEnd w:id="22"/>
      <w:bookmarkStart w:id="23" w:name="_Toc184313289"/>
      <w:bookmarkEnd w:id="23"/>
      <w:bookmarkStart w:id="24" w:name="_Toc184314454"/>
      <w:bookmarkEnd w:id="24"/>
      <w:bookmarkStart w:id="25" w:name="_Toc184310314"/>
      <w:bookmarkEnd w:id="25"/>
      <w:bookmarkStart w:id="26" w:name="_Toc184313276"/>
      <w:bookmarkEnd w:id="26"/>
      <w:bookmarkStart w:id="27" w:name="_Toc184313254"/>
      <w:bookmarkEnd w:id="27"/>
      <w:bookmarkStart w:id="28" w:name="_Toc184310329"/>
      <w:bookmarkEnd w:id="28"/>
      <w:bookmarkStart w:id="29" w:name="_Toc184314461"/>
      <w:bookmarkEnd w:id="29"/>
      <w:bookmarkStart w:id="30" w:name="_Toc184308054"/>
      <w:bookmarkEnd w:id="30"/>
      <w:bookmarkStart w:id="31" w:name="_Toc184313259"/>
      <w:bookmarkEnd w:id="31"/>
      <w:bookmarkStart w:id="32" w:name="_Toc184314432"/>
      <w:bookmarkEnd w:id="32"/>
      <w:bookmarkStart w:id="33" w:name="_Toc184310278"/>
      <w:bookmarkEnd w:id="33"/>
      <w:bookmarkStart w:id="34" w:name="_Toc184310272"/>
      <w:bookmarkEnd w:id="34"/>
      <w:bookmarkStart w:id="35" w:name="_Toc184308058"/>
      <w:bookmarkEnd w:id="35"/>
      <w:bookmarkStart w:id="36" w:name="_Toc184310313"/>
      <w:bookmarkEnd w:id="36"/>
      <w:bookmarkStart w:id="37" w:name="_Toc184312098"/>
      <w:bookmarkEnd w:id="37"/>
      <w:bookmarkStart w:id="38" w:name="_Toc184313268"/>
      <w:bookmarkEnd w:id="38"/>
      <w:bookmarkStart w:id="39" w:name="_Toc184310300"/>
      <w:bookmarkEnd w:id="39"/>
      <w:bookmarkStart w:id="40" w:name="_Toc184312076"/>
      <w:bookmarkEnd w:id="40"/>
      <w:bookmarkStart w:id="41" w:name="_Toc184314439"/>
      <w:bookmarkEnd w:id="41"/>
      <w:bookmarkStart w:id="42" w:name="_Toc184314455"/>
      <w:bookmarkEnd w:id="42"/>
      <w:bookmarkStart w:id="43" w:name="_Toc184310343"/>
      <w:bookmarkEnd w:id="43"/>
      <w:bookmarkStart w:id="44" w:name="_Toc184314420"/>
      <w:bookmarkEnd w:id="44"/>
      <w:bookmarkStart w:id="45" w:name="_Toc184312094"/>
      <w:bookmarkEnd w:id="45"/>
      <w:bookmarkStart w:id="46" w:name="_Toc184308036"/>
      <w:bookmarkEnd w:id="46"/>
      <w:bookmarkStart w:id="47" w:name="_Toc184310281"/>
      <w:bookmarkEnd w:id="47"/>
      <w:bookmarkStart w:id="48" w:name="_Toc184308050"/>
      <w:bookmarkEnd w:id="48"/>
      <w:bookmarkStart w:id="49" w:name="_Toc184313306"/>
      <w:bookmarkEnd w:id="49"/>
      <w:bookmarkStart w:id="50" w:name="_Toc184313275"/>
      <w:bookmarkEnd w:id="50"/>
      <w:bookmarkStart w:id="51" w:name="_Toc184314441"/>
      <w:bookmarkEnd w:id="51"/>
      <w:bookmarkStart w:id="52" w:name="_Toc184308051"/>
      <w:bookmarkEnd w:id="52"/>
      <w:bookmarkStart w:id="53" w:name="_Toc184312114"/>
      <w:bookmarkEnd w:id="53"/>
      <w:bookmarkStart w:id="54" w:name="_Toc184310290"/>
      <w:bookmarkEnd w:id="54"/>
      <w:bookmarkStart w:id="55" w:name="_Toc184314417"/>
      <w:bookmarkEnd w:id="55"/>
      <w:bookmarkStart w:id="56" w:name="_Toc184314415"/>
      <w:bookmarkEnd w:id="56"/>
      <w:bookmarkStart w:id="57" w:name="_Toc184310336"/>
      <w:bookmarkEnd w:id="57"/>
      <w:bookmarkStart w:id="58" w:name="_Toc184314470"/>
      <w:bookmarkEnd w:id="58"/>
      <w:bookmarkStart w:id="59" w:name="_Toc184308066"/>
      <w:bookmarkEnd w:id="59"/>
      <w:bookmarkStart w:id="60" w:name="_Toc184312071"/>
      <w:bookmarkEnd w:id="60"/>
      <w:bookmarkStart w:id="61" w:name="_Toc184314435"/>
      <w:bookmarkEnd w:id="61"/>
      <w:bookmarkStart w:id="62" w:name="_Toc184312122"/>
      <w:bookmarkEnd w:id="62"/>
      <w:bookmarkStart w:id="63" w:name="_Toc184308056"/>
      <w:bookmarkEnd w:id="63"/>
      <w:bookmarkStart w:id="64" w:name="_Toc184312095"/>
      <w:bookmarkEnd w:id="64"/>
      <w:bookmarkStart w:id="65" w:name="_Toc184312096"/>
      <w:bookmarkEnd w:id="65"/>
      <w:bookmarkStart w:id="66" w:name="_Toc184312120"/>
      <w:bookmarkEnd w:id="66"/>
      <w:bookmarkStart w:id="67" w:name="_Toc184310321"/>
      <w:bookmarkEnd w:id="67"/>
      <w:bookmarkStart w:id="68" w:name="_Toc184308040"/>
      <w:bookmarkEnd w:id="68"/>
      <w:bookmarkStart w:id="69" w:name="_Toc184313260"/>
      <w:bookmarkEnd w:id="69"/>
      <w:bookmarkStart w:id="70" w:name="_Toc184313245"/>
      <w:bookmarkEnd w:id="70"/>
      <w:bookmarkStart w:id="71" w:name="_Toc184308086"/>
      <w:bookmarkEnd w:id="71"/>
      <w:bookmarkStart w:id="72" w:name="_Toc184308055"/>
      <w:bookmarkEnd w:id="72"/>
      <w:bookmarkStart w:id="73" w:name="_Toc184312106"/>
      <w:bookmarkEnd w:id="73"/>
      <w:bookmarkStart w:id="74" w:name="_Toc184312117"/>
      <w:bookmarkEnd w:id="74"/>
      <w:bookmarkStart w:id="75" w:name="_Toc184313310"/>
      <w:bookmarkEnd w:id="75"/>
      <w:bookmarkStart w:id="76" w:name="_Toc184313267"/>
      <w:bookmarkEnd w:id="76"/>
      <w:bookmarkStart w:id="77" w:name="_Toc184314460"/>
      <w:bookmarkEnd w:id="77"/>
      <w:bookmarkStart w:id="78" w:name="_Toc184308108"/>
      <w:bookmarkEnd w:id="78"/>
      <w:bookmarkStart w:id="79" w:name="_Toc184308095"/>
      <w:bookmarkEnd w:id="79"/>
      <w:bookmarkStart w:id="80" w:name="_Toc184312103"/>
      <w:bookmarkEnd w:id="80"/>
      <w:bookmarkStart w:id="81" w:name="_Toc184308076"/>
      <w:bookmarkEnd w:id="81"/>
      <w:bookmarkStart w:id="82" w:name="_Toc184312085"/>
      <w:bookmarkEnd w:id="82"/>
      <w:bookmarkStart w:id="83" w:name="_Toc184314447"/>
      <w:bookmarkEnd w:id="83"/>
      <w:bookmarkStart w:id="84" w:name="_Toc184313240"/>
      <w:bookmarkEnd w:id="84"/>
      <w:bookmarkStart w:id="85" w:name="_Toc184314418"/>
      <w:bookmarkEnd w:id="85"/>
      <w:bookmarkStart w:id="86" w:name="_Toc184313277"/>
      <w:bookmarkEnd w:id="86"/>
      <w:bookmarkStart w:id="87" w:name="_Toc184313248"/>
      <w:bookmarkEnd w:id="87"/>
      <w:bookmarkStart w:id="88" w:name="_Toc184314413"/>
      <w:bookmarkEnd w:id="88"/>
      <w:bookmarkStart w:id="89" w:name="_Toc184308049"/>
      <w:bookmarkEnd w:id="89"/>
      <w:bookmarkStart w:id="90" w:name="_Toc184308106"/>
      <w:bookmarkEnd w:id="90"/>
      <w:bookmarkStart w:id="91" w:name="_Toc184313290"/>
      <w:bookmarkEnd w:id="91"/>
      <w:bookmarkStart w:id="92" w:name="_Toc184308099"/>
      <w:bookmarkEnd w:id="92"/>
      <w:bookmarkStart w:id="93" w:name="_Toc184313284"/>
      <w:bookmarkEnd w:id="93"/>
      <w:bookmarkStart w:id="94" w:name="_Toc184308074"/>
      <w:bookmarkEnd w:id="94"/>
      <w:bookmarkStart w:id="95" w:name="_Toc184314465"/>
      <w:bookmarkEnd w:id="95"/>
      <w:bookmarkStart w:id="96" w:name="_Toc184310344"/>
      <w:bookmarkEnd w:id="96"/>
      <w:bookmarkStart w:id="97" w:name="_Toc184314440"/>
      <w:bookmarkEnd w:id="97"/>
      <w:bookmarkStart w:id="98" w:name="_Toc184310322"/>
      <w:bookmarkEnd w:id="98"/>
      <w:bookmarkStart w:id="99" w:name="_Toc184314412"/>
      <w:bookmarkEnd w:id="99"/>
      <w:bookmarkStart w:id="100" w:name="_Toc184308104"/>
      <w:bookmarkEnd w:id="100"/>
      <w:bookmarkStart w:id="101" w:name="_Toc184308042"/>
      <w:bookmarkEnd w:id="101"/>
      <w:bookmarkStart w:id="102" w:name="_Toc184313309"/>
      <w:bookmarkEnd w:id="102"/>
      <w:bookmarkStart w:id="103" w:name="_Toc184310340"/>
      <w:bookmarkEnd w:id="103"/>
      <w:bookmarkStart w:id="104" w:name="_Toc184313270"/>
      <w:bookmarkEnd w:id="104"/>
      <w:bookmarkStart w:id="105" w:name="_Toc184312093"/>
      <w:bookmarkEnd w:id="105"/>
      <w:bookmarkStart w:id="106" w:name="_Toc184308065"/>
      <w:bookmarkEnd w:id="106"/>
      <w:bookmarkStart w:id="107" w:name="_Toc184313272"/>
      <w:bookmarkEnd w:id="107"/>
      <w:bookmarkStart w:id="108" w:name="_Toc184313243"/>
      <w:bookmarkEnd w:id="108"/>
      <w:bookmarkStart w:id="109" w:name="_Toc184308102"/>
      <w:bookmarkEnd w:id="109"/>
      <w:bookmarkStart w:id="110" w:name="_Toc184308078"/>
      <w:bookmarkEnd w:id="110"/>
      <w:bookmarkStart w:id="111" w:name="_Toc184310342"/>
      <w:bookmarkEnd w:id="111"/>
      <w:bookmarkStart w:id="112" w:name="_Toc184312097"/>
      <w:bookmarkEnd w:id="112"/>
      <w:bookmarkStart w:id="113" w:name="_Toc184310323"/>
      <w:bookmarkEnd w:id="113"/>
      <w:bookmarkStart w:id="114" w:name="_Toc184310315"/>
      <w:bookmarkEnd w:id="114"/>
      <w:bookmarkStart w:id="115" w:name="_Toc184308107"/>
      <w:bookmarkEnd w:id="115"/>
      <w:bookmarkStart w:id="116" w:name="_Toc184310333"/>
      <w:bookmarkEnd w:id="116"/>
      <w:bookmarkStart w:id="117" w:name="_Toc184308068"/>
      <w:bookmarkEnd w:id="117"/>
      <w:bookmarkStart w:id="118" w:name="_Toc184312116"/>
      <w:bookmarkEnd w:id="118"/>
      <w:bookmarkStart w:id="119" w:name="_Toc184314436"/>
      <w:bookmarkEnd w:id="119"/>
      <w:bookmarkStart w:id="120" w:name="_Toc184312127"/>
      <w:bookmarkEnd w:id="120"/>
      <w:bookmarkStart w:id="121" w:name="_Toc184312104"/>
      <w:bookmarkEnd w:id="121"/>
      <w:bookmarkStart w:id="122" w:name="_Toc184314482"/>
      <w:bookmarkEnd w:id="122"/>
      <w:bookmarkStart w:id="123" w:name="_Toc184308098"/>
      <w:bookmarkEnd w:id="123"/>
      <w:bookmarkStart w:id="124" w:name="_Toc184314410"/>
      <w:bookmarkEnd w:id="124"/>
      <w:bookmarkStart w:id="125" w:name="_Toc184308037"/>
      <w:bookmarkEnd w:id="125"/>
      <w:bookmarkStart w:id="126" w:name="_Toc184313274"/>
      <w:bookmarkEnd w:id="126"/>
      <w:bookmarkStart w:id="127" w:name="_Toc184313238"/>
      <w:bookmarkEnd w:id="127"/>
      <w:bookmarkStart w:id="128" w:name="_Toc184314425"/>
      <w:bookmarkEnd w:id="128"/>
      <w:bookmarkStart w:id="129" w:name="_Toc184312119"/>
      <w:bookmarkEnd w:id="129"/>
      <w:bookmarkStart w:id="130" w:name="_Toc184314475"/>
      <w:bookmarkEnd w:id="130"/>
      <w:bookmarkStart w:id="131" w:name="_Toc184310293"/>
      <w:bookmarkEnd w:id="131"/>
      <w:bookmarkStart w:id="132" w:name="_Toc184310326"/>
      <w:bookmarkEnd w:id="132"/>
      <w:bookmarkStart w:id="133" w:name="_Toc184314437"/>
      <w:bookmarkEnd w:id="133"/>
      <w:bookmarkStart w:id="134" w:name="_Toc184308072"/>
      <w:bookmarkEnd w:id="134"/>
      <w:bookmarkStart w:id="135" w:name="_Toc184313250"/>
      <w:bookmarkEnd w:id="135"/>
      <w:bookmarkStart w:id="136" w:name="_Toc184313283"/>
      <w:bookmarkEnd w:id="136"/>
      <w:bookmarkStart w:id="137" w:name="_Toc184308084"/>
      <w:bookmarkEnd w:id="137"/>
      <w:bookmarkStart w:id="138" w:name="_Toc184312069"/>
      <w:bookmarkEnd w:id="138"/>
      <w:bookmarkStart w:id="139" w:name="_Toc184313256"/>
      <w:bookmarkEnd w:id="139"/>
      <w:bookmarkStart w:id="140" w:name="_Toc184312109"/>
      <w:bookmarkEnd w:id="140"/>
      <w:bookmarkStart w:id="141" w:name="_Toc184308057"/>
      <w:bookmarkEnd w:id="141"/>
      <w:bookmarkStart w:id="142" w:name="_Toc184313269"/>
      <w:bookmarkEnd w:id="142"/>
      <w:bookmarkStart w:id="143" w:name="_Toc184310330"/>
      <w:bookmarkEnd w:id="143"/>
      <w:bookmarkStart w:id="144" w:name="_Toc184314443"/>
      <w:bookmarkEnd w:id="144"/>
      <w:bookmarkStart w:id="145" w:name="_Toc184314477"/>
      <w:bookmarkEnd w:id="145"/>
      <w:bookmarkStart w:id="146" w:name="_Toc184312075"/>
      <w:bookmarkEnd w:id="146"/>
      <w:bookmarkStart w:id="147" w:name="_Toc184308105"/>
      <w:bookmarkEnd w:id="147"/>
      <w:bookmarkStart w:id="148" w:name="_Toc184314411"/>
      <w:bookmarkEnd w:id="148"/>
      <w:bookmarkStart w:id="149" w:name="_Toc184310284"/>
      <w:bookmarkEnd w:id="149"/>
      <w:bookmarkStart w:id="150" w:name="_Toc184314438"/>
      <w:bookmarkEnd w:id="150"/>
      <w:bookmarkStart w:id="151" w:name="_Toc184310273"/>
      <w:bookmarkEnd w:id="151"/>
      <w:bookmarkStart w:id="152" w:name="_Toc184312113"/>
      <w:bookmarkEnd w:id="152"/>
      <w:bookmarkStart w:id="153" w:name="_Toc184312125"/>
      <w:bookmarkEnd w:id="153"/>
      <w:bookmarkStart w:id="154" w:name="_Toc184310319"/>
      <w:bookmarkEnd w:id="154"/>
      <w:bookmarkStart w:id="155" w:name="_Toc184310339"/>
      <w:bookmarkEnd w:id="155"/>
      <w:bookmarkStart w:id="156" w:name="_Toc184308097"/>
      <w:bookmarkEnd w:id="156"/>
      <w:bookmarkStart w:id="157" w:name="_Toc184310291"/>
      <w:bookmarkEnd w:id="157"/>
      <w:bookmarkStart w:id="158" w:name="_Toc184310317"/>
      <w:bookmarkEnd w:id="158"/>
      <w:bookmarkStart w:id="159" w:name="_Toc184314469"/>
      <w:bookmarkEnd w:id="159"/>
      <w:bookmarkStart w:id="160" w:name="_Toc184313282"/>
      <w:bookmarkEnd w:id="160"/>
      <w:bookmarkStart w:id="161" w:name="_Toc184312079"/>
      <w:bookmarkEnd w:id="161"/>
      <w:bookmarkStart w:id="162" w:name="_Toc184308077"/>
      <w:bookmarkEnd w:id="162"/>
      <w:bookmarkStart w:id="163" w:name="_Toc184310303"/>
      <w:bookmarkEnd w:id="163"/>
      <w:bookmarkStart w:id="164" w:name="_Toc184313251"/>
      <w:bookmarkEnd w:id="164"/>
      <w:bookmarkStart w:id="165" w:name="_Toc184313307"/>
      <w:bookmarkEnd w:id="165"/>
      <w:bookmarkStart w:id="166" w:name="_Toc184313263"/>
      <w:bookmarkEnd w:id="166"/>
      <w:bookmarkStart w:id="167" w:name="_Toc184313292"/>
      <w:bookmarkEnd w:id="167"/>
      <w:bookmarkStart w:id="168" w:name="_Toc184308071"/>
      <w:bookmarkEnd w:id="168"/>
      <w:bookmarkStart w:id="169" w:name="_Toc184308092"/>
      <w:bookmarkEnd w:id="169"/>
      <w:bookmarkStart w:id="170" w:name="_Toc184313246"/>
      <w:bookmarkEnd w:id="170"/>
      <w:bookmarkStart w:id="171" w:name="_Toc184308100"/>
      <w:bookmarkEnd w:id="171"/>
      <w:bookmarkStart w:id="172" w:name="_Toc184308043"/>
      <w:bookmarkEnd w:id="172"/>
      <w:bookmarkStart w:id="173" w:name="_Toc184312128"/>
      <w:bookmarkEnd w:id="173"/>
      <w:bookmarkStart w:id="174" w:name="_Toc184308045"/>
      <w:bookmarkEnd w:id="174"/>
      <w:bookmarkStart w:id="175" w:name="_Toc184314481"/>
      <w:bookmarkEnd w:id="175"/>
      <w:bookmarkStart w:id="176" w:name="_Toc184313305"/>
      <w:bookmarkEnd w:id="176"/>
      <w:bookmarkStart w:id="177" w:name="_Toc184313300"/>
      <w:bookmarkEnd w:id="177"/>
      <w:bookmarkStart w:id="178" w:name="_Toc184310297"/>
      <w:bookmarkEnd w:id="178"/>
      <w:bookmarkStart w:id="179" w:name="_Toc184308093"/>
      <w:bookmarkEnd w:id="179"/>
      <w:bookmarkStart w:id="180" w:name="_Toc184314421"/>
      <w:bookmarkEnd w:id="180"/>
      <w:bookmarkStart w:id="181" w:name="_Toc184310292"/>
      <w:bookmarkEnd w:id="181"/>
      <w:bookmarkStart w:id="182" w:name="_Toc184312091"/>
      <w:bookmarkEnd w:id="182"/>
      <w:bookmarkStart w:id="183" w:name="_Toc184314434"/>
      <w:bookmarkEnd w:id="183"/>
      <w:bookmarkStart w:id="184" w:name="_Toc184308089"/>
      <w:bookmarkEnd w:id="184"/>
      <w:bookmarkStart w:id="185" w:name="_Toc184314423"/>
      <w:bookmarkEnd w:id="185"/>
      <w:bookmarkStart w:id="186" w:name="_Toc184310307"/>
      <w:bookmarkEnd w:id="186"/>
      <w:bookmarkStart w:id="187" w:name="_Toc184312088"/>
      <w:bookmarkEnd w:id="187"/>
      <w:bookmarkStart w:id="188" w:name="_Toc184313287"/>
      <w:bookmarkEnd w:id="188"/>
      <w:bookmarkStart w:id="189" w:name="_Toc184312102"/>
      <w:bookmarkEnd w:id="189"/>
      <w:bookmarkStart w:id="190" w:name="_Toc184312070"/>
      <w:bookmarkEnd w:id="190"/>
      <w:bookmarkStart w:id="191" w:name="_Toc184310283"/>
      <w:bookmarkEnd w:id="191"/>
      <w:bookmarkStart w:id="192" w:name="_Toc184313302"/>
      <w:bookmarkEnd w:id="192"/>
      <w:bookmarkStart w:id="193" w:name="_Toc184308047"/>
      <w:bookmarkEnd w:id="193"/>
      <w:bookmarkStart w:id="194" w:name="_Toc184312107"/>
      <w:bookmarkEnd w:id="194"/>
      <w:bookmarkStart w:id="195" w:name="_Toc184308038"/>
      <w:bookmarkEnd w:id="195"/>
      <w:bookmarkStart w:id="196" w:name="_Toc184310286"/>
      <w:bookmarkEnd w:id="196"/>
      <w:bookmarkStart w:id="197" w:name="_Toc184312118"/>
      <w:bookmarkEnd w:id="197"/>
      <w:bookmarkStart w:id="198" w:name="_Toc184310302"/>
      <w:bookmarkEnd w:id="198"/>
      <w:bookmarkStart w:id="199" w:name="_Toc184313281"/>
      <w:bookmarkEnd w:id="199"/>
      <w:bookmarkStart w:id="200" w:name="_Toc184308103"/>
      <w:bookmarkEnd w:id="200"/>
      <w:bookmarkStart w:id="201" w:name="_Toc184308082"/>
      <w:bookmarkEnd w:id="201"/>
      <w:bookmarkStart w:id="202" w:name="_Toc184310310"/>
      <w:bookmarkEnd w:id="202"/>
      <w:bookmarkStart w:id="203" w:name="_Toc184313299"/>
      <w:bookmarkEnd w:id="203"/>
      <w:bookmarkStart w:id="204" w:name="_Toc184313279"/>
      <w:bookmarkEnd w:id="204"/>
      <w:bookmarkStart w:id="205" w:name="_Toc184312139"/>
      <w:bookmarkEnd w:id="205"/>
      <w:bookmarkStart w:id="206" w:name="_Toc184308053"/>
      <w:bookmarkEnd w:id="206"/>
      <w:bookmarkStart w:id="207" w:name="_Toc184312080"/>
      <w:bookmarkEnd w:id="207"/>
      <w:bookmarkStart w:id="208" w:name="_Toc184312084"/>
      <w:bookmarkEnd w:id="208"/>
      <w:bookmarkStart w:id="209" w:name="_Toc184310304"/>
      <w:bookmarkEnd w:id="209"/>
      <w:bookmarkStart w:id="210" w:name="_Toc184313258"/>
      <w:bookmarkEnd w:id="210"/>
      <w:bookmarkStart w:id="211" w:name="_Toc184314414"/>
      <w:bookmarkEnd w:id="211"/>
      <w:bookmarkStart w:id="212" w:name="_Toc184312126"/>
      <w:bookmarkEnd w:id="212"/>
      <w:bookmarkStart w:id="213" w:name="_Toc184314459"/>
      <w:bookmarkEnd w:id="213"/>
      <w:bookmarkStart w:id="214" w:name="_Toc184314419"/>
      <w:bookmarkEnd w:id="214"/>
      <w:bookmarkStart w:id="215" w:name="_Toc184310327"/>
      <w:bookmarkEnd w:id="215"/>
      <w:bookmarkStart w:id="216" w:name="_Toc184314476"/>
      <w:bookmarkEnd w:id="216"/>
      <w:bookmarkStart w:id="217" w:name="_Toc184313264"/>
      <w:bookmarkEnd w:id="217"/>
      <w:bookmarkStart w:id="218" w:name="_Toc184313242"/>
      <w:bookmarkEnd w:id="218"/>
      <w:bookmarkStart w:id="219" w:name="_Toc184308080"/>
      <w:bookmarkEnd w:id="219"/>
      <w:bookmarkStart w:id="220" w:name="_Toc184310276"/>
      <w:bookmarkEnd w:id="220"/>
      <w:bookmarkStart w:id="221" w:name="_Toc184312087"/>
      <w:bookmarkEnd w:id="221"/>
      <w:bookmarkStart w:id="222" w:name="_Toc184312108"/>
      <w:bookmarkEnd w:id="222"/>
      <w:bookmarkStart w:id="223" w:name="_Toc184308090"/>
      <w:bookmarkEnd w:id="223"/>
      <w:bookmarkStart w:id="224" w:name="_Toc184308048"/>
      <w:bookmarkEnd w:id="224"/>
      <w:bookmarkStart w:id="225" w:name="_Toc184308046"/>
      <w:bookmarkEnd w:id="225"/>
      <w:bookmarkStart w:id="226" w:name="_Toc184313286"/>
      <w:bookmarkEnd w:id="226"/>
      <w:bookmarkStart w:id="227" w:name="_Toc184313266"/>
      <w:bookmarkEnd w:id="227"/>
      <w:bookmarkStart w:id="228" w:name="_Toc184310285"/>
      <w:bookmarkEnd w:id="228"/>
      <w:bookmarkStart w:id="229" w:name="_Toc184314416"/>
      <w:bookmarkEnd w:id="229"/>
      <w:bookmarkStart w:id="230" w:name="_Toc184312112"/>
      <w:bookmarkEnd w:id="230"/>
      <w:bookmarkStart w:id="231" w:name="_Toc184312134"/>
      <w:bookmarkEnd w:id="231"/>
      <w:bookmarkStart w:id="232" w:name="_Toc184310332"/>
      <w:bookmarkEnd w:id="232"/>
      <w:bookmarkStart w:id="233" w:name="_Toc184308088"/>
      <w:bookmarkEnd w:id="233"/>
      <w:bookmarkStart w:id="234" w:name="_Toc184312129"/>
      <w:bookmarkEnd w:id="234"/>
      <w:bookmarkStart w:id="235" w:name="_Toc184313257"/>
      <w:bookmarkEnd w:id="235"/>
      <w:bookmarkStart w:id="236" w:name="_Toc184308081"/>
      <w:bookmarkEnd w:id="236"/>
      <w:bookmarkStart w:id="237" w:name="_Toc184308079"/>
      <w:bookmarkEnd w:id="237"/>
      <w:bookmarkStart w:id="238" w:name="_Toc184313285"/>
      <w:bookmarkEnd w:id="238"/>
      <w:bookmarkStart w:id="239" w:name="_Toc184312099"/>
      <w:bookmarkEnd w:id="239"/>
      <w:bookmarkStart w:id="240" w:name="_Toc184313273"/>
      <w:bookmarkEnd w:id="240"/>
      <w:bookmarkStart w:id="241" w:name="_Toc184310299"/>
      <w:bookmarkEnd w:id="241"/>
      <w:bookmarkStart w:id="242" w:name="_Toc184313295"/>
      <w:bookmarkEnd w:id="242"/>
      <w:bookmarkStart w:id="243" w:name="_Toc184314453"/>
      <w:bookmarkEnd w:id="243"/>
      <w:bookmarkStart w:id="244" w:name="_Toc184308039"/>
      <w:bookmarkEnd w:id="244"/>
      <w:bookmarkStart w:id="245" w:name="_Toc184314430"/>
      <w:bookmarkEnd w:id="245"/>
      <w:bookmarkStart w:id="246" w:name="_Toc184314479"/>
      <w:bookmarkEnd w:id="246"/>
      <w:bookmarkStart w:id="247" w:name="_Toc184308041"/>
      <w:bookmarkEnd w:id="247"/>
      <w:bookmarkStart w:id="248" w:name="_Toc184310311"/>
      <w:bookmarkEnd w:id="248"/>
      <w:bookmarkStart w:id="249" w:name="_Toc184308063"/>
      <w:bookmarkEnd w:id="249"/>
      <w:bookmarkStart w:id="250" w:name="_Toc184310289"/>
      <w:bookmarkEnd w:id="250"/>
      <w:bookmarkStart w:id="251" w:name="_Toc184312123"/>
      <w:bookmarkEnd w:id="251"/>
      <w:bookmarkStart w:id="252" w:name="_Toc184312067"/>
      <w:bookmarkEnd w:id="252"/>
      <w:bookmarkStart w:id="253" w:name="_Toc184313280"/>
      <w:bookmarkEnd w:id="253"/>
      <w:bookmarkStart w:id="254" w:name="_Toc184310325"/>
      <w:bookmarkEnd w:id="254"/>
      <w:bookmarkStart w:id="255" w:name="_Toc184312086"/>
      <w:bookmarkEnd w:id="255"/>
      <w:bookmarkStart w:id="256" w:name="_Toc184313308"/>
      <w:bookmarkEnd w:id="256"/>
      <w:bookmarkStart w:id="257" w:name="_Toc184312082"/>
      <w:bookmarkEnd w:id="257"/>
      <w:bookmarkStart w:id="258" w:name="_Toc184310282"/>
      <w:bookmarkEnd w:id="258"/>
      <w:bookmarkStart w:id="259" w:name="_Toc184314466"/>
      <w:bookmarkEnd w:id="259"/>
      <w:bookmarkStart w:id="260" w:name="_Toc184310305"/>
      <w:bookmarkEnd w:id="260"/>
      <w:bookmarkStart w:id="261" w:name="_Toc184308083"/>
      <w:bookmarkEnd w:id="261"/>
      <w:bookmarkStart w:id="262" w:name="_Toc184312111"/>
      <w:bookmarkEnd w:id="262"/>
      <w:bookmarkStart w:id="263" w:name="_Toc184313288"/>
      <w:bookmarkEnd w:id="263"/>
      <w:bookmarkStart w:id="264" w:name="_Toc184312110"/>
      <w:bookmarkEnd w:id="264"/>
      <w:bookmarkStart w:id="265" w:name="_Toc184312081"/>
      <w:bookmarkEnd w:id="265"/>
      <w:bookmarkStart w:id="266" w:name="_Toc184313241"/>
      <w:bookmarkEnd w:id="266"/>
      <w:bookmarkStart w:id="267" w:name="_Toc184308059"/>
      <w:bookmarkEnd w:id="267"/>
      <w:bookmarkStart w:id="268" w:name="_Toc184313261"/>
      <w:bookmarkEnd w:id="268"/>
      <w:bookmarkStart w:id="269" w:name="_Toc184310334"/>
      <w:bookmarkEnd w:id="269"/>
      <w:bookmarkStart w:id="270" w:name="_Toc184313252"/>
      <w:bookmarkEnd w:id="270"/>
      <w:bookmarkStart w:id="271" w:name="_Toc184314433"/>
      <w:bookmarkEnd w:id="271"/>
      <w:bookmarkStart w:id="272" w:name="_Toc184314424"/>
      <w:bookmarkEnd w:id="272"/>
      <w:bookmarkStart w:id="273" w:name="_Toc184313294"/>
      <w:bookmarkEnd w:id="273"/>
      <w:bookmarkStart w:id="274" w:name="_Toc184310308"/>
      <w:bookmarkEnd w:id="274"/>
      <w:bookmarkStart w:id="275" w:name="_Toc184310324"/>
      <w:bookmarkEnd w:id="275"/>
      <w:bookmarkStart w:id="276" w:name="_Toc184313297"/>
      <w:bookmarkEnd w:id="276"/>
      <w:bookmarkStart w:id="277" w:name="_Toc184310301"/>
      <w:bookmarkEnd w:id="277"/>
      <w:bookmarkStart w:id="278" w:name="_Toc184312131"/>
      <w:bookmarkEnd w:id="278"/>
      <w:bookmarkStart w:id="279" w:name="_Toc184310312"/>
      <w:bookmarkEnd w:id="279"/>
      <w:bookmarkStart w:id="280" w:name="_Toc184314426"/>
      <w:bookmarkEnd w:id="280"/>
      <w:bookmarkStart w:id="281" w:name="_Toc184308096"/>
      <w:bookmarkEnd w:id="281"/>
      <w:bookmarkStart w:id="282" w:name="_Toc184314474"/>
      <w:bookmarkEnd w:id="282"/>
      <w:bookmarkStart w:id="283" w:name="_Toc184310335"/>
      <w:bookmarkEnd w:id="283"/>
      <w:bookmarkStart w:id="284" w:name="_Toc184314478"/>
      <w:bookmarkEnd w:id="284"/>
      <w:bookmarkStart w:id="285" w:name="_Toc184308087"/>
      <w:bookmarkEnd w:id="285"/>
      <w:bookmarkStart w:id="286" w:name="_Toc184313293"/>
      <w:bookmarkEnd w:id="286"/>
      <w:bookmarkStart w:id="287" w:name="_Toc184310277"/>
      <w:bookmarkEnd w:id="287"/>
      <w:bookmarkStart w:id="288" w:name="_Toc184312124"/>
      <w:bookmarkEnd w:id="288"/>
      <w:bookmarkStart w:id="289" w:name="_Toc184310280"/>
      <w:bookmarkEnd w:id="289"/>
      <w:bookmarkStart w:id="290" w:name="_Toc184310275"/>
      <w:bookmarkEnd w:id="290"/>
      <w:bookmarkStart w:id="291" w:name="_Toc184308094"/>
      <w:bookmarkEnd w:id="291"/>
      <w:bookmarkStart w:id="292" w:name="_Toc184308073"/>
      <w:bookmarkEnd w:id="292"/>
      <w:bookmarkStart w:id="293" w:name="_Toc184314472"/>
      <w:bookmarkEnd w:id="293"/>
      <w:bookmarkStart w:id="294" w:name="_Toc184313304"/>
      <w:bookmarkEnd w:id="294"/>
      <w:bookmarkStart w:id="295" w:name="_Toc184314463"/>
      <w:bookmarkEnd w:id="295"/>
      <w:bookmarkStart w:id="296" w:name="_Toc184310296"/>
      <w:bookmarkEnd w:id="296"/>
      <w:bookmarkStart w:id="297" w:name="_Toc184314473"/>
      <w:bookmarkEnd w:id="297"/>
      <w:bookmarkStart w:id="298" w:name="_Toc184314462"/>
      <w:bookmarkEnd w:id="298"/>
      <w:bookmarkStart w:id="299" w:name="_Toc184308044"/>
      <w:bookmarkEnd w:id="299"/>
      <w:bookmarkStart w:id="300" w:name="_Toc184314448"/>
      <w:bookmarkEnd w:id="300"/>
      <w:bookmarkStart w:id="301" w:name="_Toc184312135"/>
      <w:bookmarkEnd w:id="301"/>
      <w:bookmarkStart w:id="302" w:name="_Toc184308101"/>
      <w:bookmarkEnd w:id="302"/>
      <w:bookmarkStart w:id="303" w:name="_Toc184308070"/>
      <w:bookmarkEnd w:id="303"/>
      <w:bookmarkStart w:id="304" w:name="_Toc184310328"/>
      <w:bookmarkEnd w:id="304"/>
      <w:bookmarkStart w:id="305" w:name="_Toc184314452"/>
      <w:bookmarkEnd w:id="305"/>
      <w:bookmarkStart w:id="306" w:name="_Toc184308069"/>
      <w:bookmarkEnd w:id="306"/>
      <w:bookmarkStart w:id="307" w:name="_Toc184313291"/>
      <w:bookmarkEnd w:id="307"/>
      <w:bookmarkStart w:id="308" w:name="_Toc184314468"/>
      <w:bookmarkEnd w:id="308"/>
      <w:bookmarkStart w:id="309" w:name="_Toc184312074"/>
      <w:bookmarkEnd w:id="309"/>
      <w:bookmarkStart w:id="310" w:name="_Toc184312138"/>
      <w:bookmarkEnd w:id="310"/>
      <w:bookmarkStart w:id="311" w:name="_Toc184312136"/>
      <w:bookmarkEnd w:id="311"/>
      <w:bookmarkStart w:id="312" w:name="_Toc184314429"/>
      <w:bookmarkEnd w:id="312"/>
      <w:bookmarkStart w:id="313" w:name="_Toc184310309"/>
      <w:bookmarkEnd w:id="313"/>
      <w:bookmarkStart w:id="314" w:name="_Toc184310337"/>
      <w:bookmarkEnd w:id="314"/>
      <w:bookmarkStart w:id="315" w:name="_Toc184314450"/>
      <w:bookmarkEnd w:id="315"/>
      <w:bookmarkStart w:id="316" w:name="_Toc184312077"/>
      <w:bookmarkEnd w:id="316"/>
      <w:bookmarkStart w:id="317" w:name="_Toc184310279"/>
      <w:bookmarkEnd w:id="317"/>
      <w:bookmarkStart w:id="318" w:name="_Toc184310338"/>
      <w:bookmarkEnd w:id="318"/>
      <w:bookmarkStart w:id="319" w:name="_Toc184312115"/>
      <w:bookmarkEnd w:id="319"/>
      <w:bookmarkStart w:id="320" w:name="_Toc184313278"/>
      <w:bookmarkEnd w:id="320"/>
      <w:bookmarkStart w:id="321" w:name="_Toc184310331"/>
      <w:bookmarkEnd w:id="321"/>
      <w:bookmarkStart w:id="322" w:name="_Toc184312105"/>
      <w:bookmarkEnd w:id="322"/>
      <w:bookmarkStart w:id="323" w:name="_Toc184313303"/>
      <w:bookmarkEnd w:id="323"/>
      <w:bookmarkStart w:id="324" w:name="_Toc184313265"/>
      <w:bookmarkEnd w:id="324"/>
      <w:bookmarkStart w:id="325" w:name="_Toc184310295"/>
      <w:bookmarkEnd w:id="325"/>
      <w:bookmarkStart w:id="326" w:name="_Toc184312132"/>
      <w:bookmarkEnd w:id="326"/>
      <w:bookmarkStart w:id="327" w:name="_Toc184308062"/>
      <w:bookmarkEnd w:id="327"/>
      <w:bookmarkStart w:id="328" w:name="_Toc184314464"/>
      <w:bookmarkEnd w:id="328"/>
      <w:bookmarkStart w:id="329" w:name="_Toc184312090"/>
      <w:bookmarkEnd w:id="329"/>
      <w:bookmarkStart w:id="330" w:name="_Toc184314427"/>
      <w:bookmarkEnd w:id="330"/>
      <w:bookmarkStart w:id="331" w:name="_Toc184313255"/>
      <w:bookmarkEnd w:id="331"/>
      <w:bookmarkStart w:id="332" w:name="_Toc184313244"/>
      <w:bookmarkEnd w:id="332"/>
      <w:bookmarkStart w:id="333" w:name="_Toc184314480"/>
      <w:bookmarkEnd w:id="333"/>
      <w:bookmarkStart w:id="334" w:name="_Toc184314444"/>
      <w:bookmarkEnd w:id="334"/>
      <w:bookmarkStart w:id="335" w:name="_Toc184313301"/>
      <w:bookmarkEnd w:id="335"/>
      <w:bookmarkStart w:id="336" w:name="_Toc184312078"/>
      <w:bookmarkEnd w:id="336"/>
      <w:bookmarkStart w:id="337" w:name="_Toc184314445"/>
      <w:bookmarkEnd w:id="337"/>
      <w:bookmarkStart w:id="338" w:name="_Toc184313247"/>
      <w:bookmarkEnd w:id="338"/>
      <w:bookmarkStart w:id="339" w:name="_Toc184308064"/>
      <w:bookmarkEnd w:id="339"/>
      <w:bookmarkStart w:id="340" w:name="_Toc184314457"/>
      <w:bookmarkEnd w:id="340"/>
      <w:bookmarkStart w:id="341" w:name="_Toc184313239"/>
      <w:bookmarkEnd w:id="341"/>
      <w:bookmarkStart w:id="342" w:name="_Toc184313298"/>
      <w:bookmarkEnd w:id="342"/>
      <w:bookmarkStart w:id="343" w:name="_Toc184310316"/>
      <w:bookmarkEnd w:id="343"/>
      <w:bookmarkStart w:id="344" w:name="_Toc184312133"/>
      <w:bookmarkEnd w:id="344"/>
      <w:bookmarkStart w:id="345" w:name="_Toc184308075"/>
      <w:bookmarkEnd w:id="345"/>
      <w:bookmarkStart w:id="346" w:name="_Toc184314422"/>
      <w:bookmarkEnd w:id="346"/>
      <w:bookmarkStart w:id="347" w:name="_Toc184310306"/>
      <w:bookmarkEnd w:id="347"/>
      <w:bookmarkStart w:id="348" w:name="_Toc184314431"/>
      <w:bookmarkEnd w:id="348"/>
      <w:bookmarkStart w:id="349" w:name="_Toc184310320"/>
      <w:bookmarkEnd w:id="349"/>
      <w:bookmarkStart w:id="350" w:name="_Toc184314451"/>
      <w:bookmarkEnd w:id="350"/>
      <w:bookmarkStart w:id="351" w:name="_Toc184310287"/>
      <w:bookmarkEnd w:id="351"/>
      <w:bookmarkStart w:id="352" w:name="_Toc184314467"/>
      <w:bookmarkEnd w:id="352"/>
      <w:bookmarkStart w:id="353" w:name="_Toc184314442"/>
      <w:bookmarkEnd w:id="353"/>
      <w:bookmarkStart w:id="354" w:name="_Toc184308052"/>
      <w:bookmarkEnd w:id="354"/>
      <w:bookmarkStart w:id="355" w:name="_Toc184314456"/>
      <w:bookmarkEnd w:id="355"/>
      <w:bookmarkStart w:id="356" w:name="_Toc184313262"/>
      <w:bookmarkEnd w:id="356"/>
      <w:bookmarkStart w:id="357" w:name="_Toc184310318"/>
      <w:bookmarkEnd w:id="357"/>
      <w:bookmarkStart w:id="358" w:name="_Toc184308085"/>
      <w:bookmarkEnd w:id="358"/>
      <w:bookmarkStart w:id="359" w:name="_Toc184314446"/>
      <w:bookmarkEnd w:id="359"/>
      <w:bookmarkStart w:id="360" w:name="_Toc184310294"/>
      <w:bookmarkEnd w:id="360"/>
      <w:bookmarkStart w:id="361" w:name="_Toc184310274"/>
      <w:bookmarkEnd w:id="361"/>
      <w:bookmarkStart w:id="362" w:name="_Toc184314458"/>
      <w:bookmarkEnd w:id="362"/>
      <w:bookmarkStart w:id="363" w:name="_Toc184312068"/>
      <w:bookmarkEnd w:id="363"/>
      <w:bookmarkStart w:id="364" w:name="_Toc184312083"/>
      <w:bookmarkEnd w:id="364"/>
      <w:bookmarkStart w:id="365" w:name="_Toc184312089"/>
      <w:bookmarkEnd w:id="365"/>
      <w:bookmarkStart w:id="366" w:name="_Toc184313271"/>
      <w:bookmarkEnd w:id="366"/>
      <w:bookmarkStart w:id="367" w:name="_Toc184310298"/>
      <w:bookmarkEnd w:id="367"/>
      <w:bookmarkStart w:id="368" w:name="_Toc184308067"/>
      <w:bookmarkEnd w:id="368"/>
      <w:bookmarkStart w:id="369" w:name="_Toc184310288"/>
      <w:bookmarkEnd w:id="369"/>
      <w:bookmarkStart w:id="370" w:name="_Toc184308060"/>
      <w:bookmarkEnd w:id="370"/>
      <w:bookmarkStart w:id="371" w:name="_Toc184308061"/>
      <w:bookmarkEnd w:id="371"/>
      <w:bookmarkStart w:id="372" w:name="_Toc184312121"/>
      <w:bookmarkEnd w:id="372"/>
      <w:bookmarkStart w:id="373" w:name="_Toc184314449"/>
      <w:bookmarkEnd w:id="373"/>
      <w:bookmarkStart w:id="374" w:name="_Toc184312100"/>
      <w:bookmarkEnd w:id="374"/>
      <w:bookmarkStart w:id="375" w:name="_Toc184314471"/>
      <w:bookmarkEnd w:id="375"/>
      <w:bookmarkStart w:id="376" w:name="_Toc184313253"/>
      <w:bookmarkEnd w:id="376"/>
      <w:bookmarkStart w:id="377" w:name="_Toc184314428"/>
      <w:bookmarkEnd w:id="377"/>
      <w:bookmarkStart w:id="378" w:name="_Toc184312137"/>
      <w:bookmarkEnd w:id="378"/>
      <w:bookmarkStart w:id="379" w:name="_Toc184312073"/>
      <w:bookmarkEnd w:id="379"/>
      <w:bookmarkStart w:id="380" w:name="_Toc184312072"/>
      <w:bookmarkEnd w:id="380"/>
      <w:bookmarkStart w:id="381" w:name="_Toc184312130"/>
      <w:bookmarkEnd w:id="381"/>
      <w:bookmarkStart w:id="382" w:name="_Toc184313249"/>
      <w:bookmarkEnd w:id="382"/>
      <w:bookmarkStart w:id="383" w:name="_Toc18431329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1"/>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hAnsi="宋体" w:cs="宋体"/>
          <w:kern w:val="2"/>
          <w:sz w:val="24"/>
          <w:szCs w:val="24"/>
          <w:u w:val="single"/>
          <w:lang w:val="en-US" w:eastAsia="zh-CN" w:bidi="ar-SA"/>
        </w:rPr>
        <w:t>2025年-2026年临江公司工业葡萄糖采购项目</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3"/>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3"/>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3"/>
        <w:ind w:left="0" w:leftChars="0" w:firstLine="0" w:firstLineChars="0"/>
        <w:jc w:val="both"/>
        <w:rPr>
          <w:rFonts w:ascii="宋体" w:hAnsi="宋体" w:cs="宋体"/>
          <w:b/>
          <w:szCs w:val="24"/>
        </w:rPr>
      </w:pPr>
    </w:p>
    <w:p w14:paraId="0F1FB10F">
      <w:pPr>
        <w:pStyle w:val="23"/>
        <w:ind w:left="0" w:leftChars="0" w:firstLine="0" w:firstLineChars="0"/>
        <w:jc w:val="center"/>
        <w:rPr>
          <w:rFonts w:hint="eastAsia" w:ascii="宋体" w:hAnsi="宋体" w:cs="宋体"/>
          <w:b/>
          <w:szCs w:val="24"/>
        </w:rPr>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24059"/>
      <w:bookmarkStart w:id="385" w:name="_Toc3029"/>
      <w:bookmarkStart w:id="386" w:name="_Toc2232"/>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2025年-2026年临江公司工业葡萄糖采购项目</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6"/>
        <w:gridCol w:w="2148"/>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6"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48"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56"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工业葡萄糖</w:t>
            </w:r>
          </w:p>
        </w:tc>
        <w:tc>
          <w:tcPr>
            <w:tcW w:w="2148" w:type="dxa"/>
            <w:vAlign w:val="top"/>
          </w:tcPr>
          <w:p w14:paraId="5F7C2B7C">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DE值≥90%；固形物≥80%；PH 值：4.0-6.0，CODCr 值≥80万 mg/L</w:t>
            </w:r>
            <w:r>
              <w:rPr>
                <w:rFonts w:hint="eastAsia" w:ascii="宋体" w:hAnsi="宋体" w:eastAsia="宋体" w:cs="宋体"/>
                <w:snapToGrid w:val="0"/>
                <w:szCs w:val="21"/>
                <w:lang w:eastAsia="zh-CN"/>
              </w:rPr>
              <w:t>。</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25KG袋装。</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highlight w:val="none"/>
        </w:rPr>
      </w:pPr>
      <w:r>
        <w:rPr>
          <w:rFonts w:hint="eastAsia" w:ascii="宋体" w:hAnsi="宋体" w:cs="宋体"/>
          <w:sz w:val="24"/>
          <w:highlight w:val="none"/>
        </w:rPr>
        <w:t>1.合同</w:t>
      </w:r>
      <w:r>
        <w:rPr>
          <w:rFonts w:hint="eastAsia" w:ascii="宋体" w:hAnsi="宋体" w:cs="宋体"/>
          <w:sz w:val="24"/>
          <w:highlight w:val="none"/>
          <w:lang w:val="en-US" w:eastAsia="zh-CN"/>
        </w:rPr>
        <w:t>供货</w:t>
      </w:r>
      <w:r>
        <w:rPr>
          <w:rFonts w:hint="eastAsia" w:ascii="宋体" w:hAnsi="宋体" w:cs="宋体"/>
          <w:sz w:val="24"/>
          <w:highlight w:val="none"/>
        </w:rPr>
        <w:t>期限：</w:t>
      </w:r>
      <w:r>
        <w:rPr>
          <w:rFonts w:hint="eastAsia" w:cs="仿宋" w:asciiTheme="minorEastAsia" w:hAnsiTheme="minorEastAsia"/>
          <w:b w:val="0"/>
          <w:bCs w:val="0"/>
          <w:color w:val="auto"/>
          <w:sz w:val="24"/>
          <w:highlight w:val="none"/>
          <w:u w:val="single"/>
          <w:lang w:val="en-US" w:eastAsia="zh-CN"/>
        </w:rPr>
        <w:t>自合同签订起</w:t>
      </w:r>
      <w:r>
        <w:rPr>
          <w:rFonts w:hint="eastAsia" w:cs="仿宋" w:asciiTheme="minorEastAsia" w:hAnsiTheme="minorEastAsia"/>
          <w:sz w:val="24"/>
          <w:highlight w:val="none"/>
          <w:u w:val="single"/>
          <w:lang w:val="en-US" w:eastAsia="zh-CN"/>
        </w:rPr>
        <w:t>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7"/>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79CA3429">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7"/>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7"/>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7"/>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4DFD177B">
      <w:pPr>
        <w:tabs>
          <w:tab w:val="left" w:pos="360"/>
          <w:tab w:val="left" w:pos="540"/>
          <w:tab w:val="left" w:pos="1080"/>
        </w:tabs>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货物交付时，采购人在组织自检，自检主要指标为COD和DE值，检测结果满足合同要求，视为验收合格。双方组织卸货；检测结果不满足合同要求，供应商需在24小时内免费无条件退换货。若供应商对采购人自检结果提出异议的，采购人将货物样品送第三方检测机构进行检测，供应商需认可有资质的检测单位出具的检测数据。若采购人自检验收和第三方检测机构检测结果不一致时，以第三方检测机构检测为准。第三方检测机构费用由责任方承担。</w:t>
      </w:r>
    </w:p>
    <w:p w14:paraId="6ECD0836">
      <w:pPr>
        <w:pStyle w:val="8"/>
        <w:ind w:left="0" w:leftChars="0" w:firstLine="482" w:firstLineChars="200"/>
        <w:rPr>
          <w:rFonts w:hint="eastAsia" w:ascii="宋体" w:hAnsi="宋体" w:cs="宋体"/>
          <w:b/>
          <w:bCs/>
          <w:sz w:val="24"/>
          <w:highlight w:val="none"/>
        </w:rPr>
      </w:pPr>
      <w:r>
        <w:rPr>
          <w:rFonts w:hint="eastAsia"/>
          <w:b/>
          <w:bCs/>
          <w:highlight w:val="none"/>
          <w:lang w:val="en-US" w:eastAsia="zh-CN"/>
        </w:rPr>
        <w:t>4.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责任方</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05"/>
      <w:bookmarkStart w:id="409" w:name="_Ref467378404"/>
      <w:bookmarkStart w:id="410" w:name="_Toc487900349"/>
      <w:bookmarkStart w:id="411" w:name="_Toc279701240"/>
      <w:bookmarkStart w:id="412" w:name="_Ref467379195"/>
      <w:bookmarkStart w:id="413" w:name="_Toc259093669"/>
      <w:bookmarkStart w:id="414" w:name="_Toc19614"/>
      <w:bookmarkStart w:id="415" w:name="_Toc28763"/>
      <w:bookmarkStart w:id="416" w:name="_Ref467379214"/>
      <w:bookmarkStart w:id="417" w:name="_Toc16917"/>
      <w:bookmarkStart w:id="418" w:name="_Ref467378499"/>
      <w:bookmarkStart w:id="419" w:name="_Ref467379225"/>
      <w:bookmarkStart w:id="420" w:name="_Ref467379101"/>
      <w:bookmarkStart w:id="421" w:name="_Ref467379109"/>
      <w:bookmarkStart w:id="422" w:name="_Ref467378463"/>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7635"/>
      <w:bookmarkStart w:id="429" w:name="_Toc32504"/>
      <w:bookmarkStart w:id="430" w:name="_Toc279701241"/>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59093671"/>
      <w:bookmarkStart w:id="435" w:name="_Toc279701242"/>
      <w:bookmarkStart w:id="436" w:name="_Toc48790035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923"/>
      <w:bookmarkStart w:id="454" w:name="_Toc259093677"/>
      <w:bookmarkStart w:id="455" w:name="_Toc279701248"/>
      <w:bookmarkStart w:id="456" w:name="_Ref467379863"/>
      <w:bookmarkStart w:id="457" w:name="_Ref467379852"/>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10366"/>
      <w:bookmarkStart w:id="474" w:name="_Toc259093688"/>
      <w:bookmarkStart w:id="475" w:name="_Toc487900369"/>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259093684"/>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7102"/>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487900372"/>
      <w:bookmarkStart w:id="506" w:name="_Toc279701262"/>
      <w:bookmarkStart w:id="507" w:name="_Toc18540"/>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487900373"/>
      <w:bookmarkStart w:id="513" w:name="_Toc127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64AF0941">
      <w:pPr>
        <w:rPr>
          <w:rFonts w:hint="eastAsia"/>
        </w:rPr>
      </w:pPr>
    </w:p>
    <w:p w14:paraId="588EEFF3">
      <w:pPr>
        <w:jc w:val="center"/>
        <w:rPr>
          <w:rFonts w:ascii="宋体" w:hAnsi="宋体" w:eastAsia="宋体" w:cs="Times New Roman"/>
          <w:b/>
        </w:rPr>
      </w:pPr>
    </w:p>
    <w:tbl>
      <w:tblPr>
        <w:tblStyle w:val="15"/>
        <w:tblW w:w="933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82"/>
        <w:gridCol w:w="4556"/>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556"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556"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556"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556"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556"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556"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82"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556"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2025年-2026年临江公司工业葡萄糖采购项目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42CD4FD3">
      <w:pPr>
        <w:pStyle w:val="9"/>
        <w:rPr>
          <w:color w:val="auto"/>
        </w:rPr>
      </w:pPr>
    </w:p>
    <w:p w14:paraId="1E6E4C39">
      <w:pPr>
        <w:rPr>
          <w:color w:val="auto"/>
        </w:rPr>
      </w:pPr>
    </w:p>
    <w:p w14:paraId="1AAA3B54">
      <w:pPr>
        <w:pStyle w:val="14"/>
      </w:pPr>
    </w:p>
    <w:p w14:paraId="0EC82F94">
      <w:pPr>
        <w:rPr>
          <w:color w:val="auto"/>
        </w:rPr>
      </w:pPr>
    </w:p>
    <w:p w14:paraId="5BDEE8B8">
      <w:pPr>
        <w:pStyle w:val="7"/>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2025年-2026年临江公司工业葡萄糖采购项目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202511007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5E4AFFF0"/>
    <w:p w14:paraId="437E8B68">
      <w:pPr>
        <w:rPr>
          <w:color w:val="auto"/>
        </w:rPr>
      </w:pPr>
    </w:p>
    <w:p w14:paraId="33A065AF">
      <w:pPr>
        <w:pStyle w:val="7"/>
        <w:rPr>
          <w:color w:val="auto"/>
        </w:rPr>
      </w:pPr>
    </w:p>
    <w:p w14:paraId="390524D3">
      <w:pPr>
        <w:pStyle w:val="8"/>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工业葡萄糖销售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5ADA06B">
      <w:pPr>
        <w:pStyle w:val="2"/>
        <w:rPr>
          <w:rFonts w:hint="eastAsia" w:cs="仿宋" w:asciiTheme="minorEastAsia" w:hAnsiTheme="minorEastAsia"/>
          <w:b/>
          <w:color w:val="auto"/>
          <w:kern w:val="0"/>
          <w:sz w:val="32"/>
          <w:szCs w:val="32"/>
          <w:lang w:val="en-US" w:eastAsia="zh-CN"/>
        </w:rPr>
      </w:pPr>
    </w:p>
    <w:p w14:paraId="166AD761">
      <w:pPr>
        <w:rPr>
          <w:rFonts w:hint="eastAsia"/>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0D8105E">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FBE1AD6">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7"/>
        <w:rPr>
          <w:color w:val="auto"/>
        </w:rPr>
      </w:pPr>
    </w:p>
    <w:p w14:paraId="1D95C425">
      <w:pPr>
        <w:pStyle w:val="8"/>
        <w:rPr>
          <w:color w:val="auto"/>
        </w:rPr>
      </w:pPr>
    </w:p>
    <w:p w14:paraId="5D8F4D04">
      <w:pPr>
        <w:rPr>
          <w:color w:val="auto"/>
        </w:rPr>
      </w:pPr>
    </w:p>
    <w:p w14:paraId="2DD7C309">
      <w:pPr>
        <w:pStyle w:val="7"/>
        <w:rPr>
          <w:color w:val="auto"/>
        </w:rPr>
      </w:pPr>
    </w:p>
    <w:p w14:paraId="172BCD57">
      <w:pPr>
        <w:pStyle w:val="8"/>
      </w:pPr>
    </w:p>
    <w:p w14:paraId="01842F0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8"/>
        <w:rPr>
          <w:color w:val="auto"/>
        </w:rPr>
      </w:pPr>
    </w:p>
    <w:p w14:paraId="0974A3A4">
      <w:pPr>
        <w:rPr>
          <w:color w:val="auto"/>
        </w:rPr>
      </w:pPr>
    </w:p>
    <w:p w14:paraId="48FA96B2">
      <w:pPr>
        <w:rPr>
          <w:color w:val="auto"/>
        </w:rPr>
      </w:pPr>
    </w:p>
    <w:p w14:paraId="56EA1A6F">
      <w:pPr>
        <w:pStyle w:val="7"/>
        <w:rPr>
          <w:color w:val="auto"/>
        </w:rPr>
      </w:pPr>
    </w:p>
    <w:p w14:paraId="49C902B7">
      <w:pPr>
        <w:pStyle w:val="8"/>
        <w:rPr>
          <w:color w:val="auto"/>
        </w:rPr>
      </w:pPr>
    </w:p>
    <w:p w14:paraId="1BE2D6FF">
      <w:pPr>
        <w:pStyle w:val="7"/>
        <w:rPr>
          <w:color w:val="auto"/>
        </w:rPr>
      </w:pPr>
    </w:p>
    <w:p w14:paraId="151F0F7B">
      <w:pPr>
        <w:pStyle w:val="8"/>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22F6FCB8">
      <w:pPr>
        <w:pStyle w:val="8"/>
        <w:rPr>
          <w:color w:val="auto"/>
        </w:rPr>
      </w:pPr>
    </w:p>
    <w:p w14:paraId="6F28F61A">
      <w:pPr>
        <w:pStyle w:val="9"/>
        <w:rPr>
          <w:color w:val="auto"/>
        </w:rPr>
      </w:pPr>
    </w:p>
    <w:p w14:paraId="12E7506A">
      <w:pPr>
        <w:rPr>
          <w:color w:val="auto"/>
        </w:rPr>
      </w:pPr>
    </w:p>
    <w:p w14:paraId="21F41F43">
      <w:pPr>
        <w:rPr>
          <w:color w:val="auto"/>
        </w:rPr>
      </w:pPr>
    </w:p>
    <w:p w14:paraId="2A2C7AEE">
      <w:pPr>
        <w:rPr>
          <w:color w:val="auto"/>
        </w:rPr>
      </w:pPr>
    </w:p>
    <w:p w14:paraId="74966C05">
      <w:pPr>
        <w:pStyle w:val="8"/>
        <w:rPr>
          <w:color w:val="auto"/>
        </w:rPr>
      </w:pPr>
    </w:p>
    <w:p w14:paraId="7000766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866"/>
        <w:gridCol w:w="4234"/>
        <w:gridCol w:w="727"/>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66"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3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27"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工业葡萄糖</w:t>
            </w:r>
          </w:p>
        </w:tc>
        <w:tc>
          <w:tcPr>
            <w:tcW w:w="866" w:type="dxa"/>
            <w:vAlign w:val="center"/>
          </w:tcPr>
          <w:p w14:paraId="0B160514">
            <w:pPr>
              <w:spacing w:line="360" w:lineRule="auto"/>
              <w:jc w:val="center"/>
              <w:rPr>
                <w:rFonts w:hint="eastAsia" w:cs="仿宋" w:asciiTheme="minorEastAsia" w:hAnsiTheme="minorEastAsia"/>
                <w:b/>
                <w:sz w:val="24"/>
                <w:lang w:val="en-US" w:eastAsia="zh-CN"/>
              </w:rPr>
            </w:pPr>
          </w:p>
        </w:tc>
        <w:tc>
          <w:tcPr>
            <w:tcW w:w="423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DE值≥90%；固形物≥80%；PH 值：4.0-6.0，CODCr 值≥80万 mg/L</w:t>
            </w:r>
          </w:p>
        </w:tc>
        <w:tc>
          <w:tcPr>
            <w:tcW w:w="727"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90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06"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06"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06"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717B32CC">
      <w:pPr>
        <w:snapToGrid w:val="0"/>
        <w:spacing w:line="360" w:lineRule="auto"/>
        <w:ind w:left="480"/>
        <w:rPr>
          <w:rFonts w:hint="eastAsia" w:cs="仿宋" w:asciiTheme="minorEastAsia" w:hAnsiTheme="minorEastAsia"/>
          <w:b/>
          <w:color w:val="auto"/>
          <w:kern w:val="0"/>
          <w:sz w:val="24"/>
          <w:lang w:val="zh-CN"/>
        </w:rPr>
      </w:pPr>
    </w:p>
    <w:p w14:paraId="3C0AEC6A">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2025年-2026年临江公司工业葡萄糖采购项目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474EA6"/>
    <w:rsid w:val="01E332FF"/>
    <w:rsid w:val="023E1286"/>
    <w:rsid w:val="024141DC"/>
    <w:rsid w:val="028710B6"/>
    <w:rsid w:val="03272182"/>
    <w:rsid w:val="036B4BAC"/>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EE3859"/>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B8478A"/>
    <w:rsid w:val="39C31C6C"/>
    <w:rsid w:val="3A797A04"/>
    <w:rsid w:val="3C283344"/>
    <w:rsid w:val="3C3420E0"/>
    <w:rsid w:val="3C485F9D"/>
    <w:rsid w:val="3C4E2A76"/>
    <w:rsid w:val="3C7C70D7"/>
    <w:rsid w:val="3CB84BBF"/>
    <w:rsid w:val="3D3879AE"/>
    <w:rsid w:val="3D9C01D3"/>
    <w:rsid w:val="3DD16292"/>
    <w:rsid w:val="3E0C6463"/>
    <w:rsid w:val="3E142187"/>
    <w:rsid w:val="3E564C85"/>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183262"/>
    <w:rsid w:val="46EB193D"/>
    <w:rsid w:val="470471FE"/>
    <w:rsid w:val="472961BF"/>
    <w:rsid w:val="472E3564"/>
    <w:rsid w:val="481A7033"/>
    <w:rsid w:val="484304BB"/>
    <w:rsid w:val="48611B44"/>
    <w:rsid w:val="49105C83"/>
    <w:rsid w:val="4992263D"/>
    <w:rsid w:val="499917D4"/>
    <w:rsid w:val="49A53D97"/>
    <w:rsid w:val="49FB6AEB"/>
    <w:rsid w:val="4A035B02"/>
    <w:rsid w:val="4AE27CAC"/>
    <w:rsid w:val="4B8957B1"/>
    <w:rsid w:val="4BAC48C9"/>
    <w:rsid w:val="4BD3500B"/>
    <w:rsid w:val="4CAA0A32"/>
    <w:rsid w:val="4CAE2CB9"/>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890826"/>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1061</Words>
  <Characters>1264</Characters>
  <Lines>0</Lines>
  <Paragraphs>0</Paragraphs>
  <TotalTime>6</TotalTime>
  <ScaleCrop>false</ScaleCrop>
  <LinksUpToDate>false</LinksUpToDate>
  <CharactersWithSpaces>1314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2025-11-03T02:22:00Z</cp:lastPrinted>
  <dcterms:modified xsi:type="dcterms:W3CDTF">2025-11-10T02:30:28Z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