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4BEEC">
      <w:pPr>
        <w:autoSpaceDE w:val="0"/>
        <w:autoSpaceDN w:val="0"/>
        <w:adjustRightInd w:val="0"/>
        <w:snapToGrid w:val="0"/>
        <w:spacing w:line="360" w:lineRule="auto"/>
        <w:jc w:val="center"/>
        <w:rPr>
          <w:rFonts w:cs="宋体"/>
          <w:b/>
          <w:snapToGrid w:val="0"/>
          <w:color w:val="auto"/>
          <w:kern w:val="0"/>
          <w:sz w:val="44"/>
          <w:szCs w:val="44"/>
          <w:highlight w:val="none"/>
          <w:lang w:val="zh-CN"/>
        </w:rPr>
      </w:pPr>
      <w:bookmarkStart w:id="0" w:name="Content"/>
      <w:r>
        <w:rPr>
          <w:rFonts w:hint="eastAsia" w:cs="宋体"/>
          <w:b/>
          <w:snapToGrid w:val="0"/>
          <w:color w:val="auto"/>
          <w:kern w:val="0"/>
          <w:sz w:val="44"/>
          <w:szCs w:val="44"/>
          <w:highlight w:val="none"/>
          <w:u w:val="single"/>
          <w:lang w:val="zh-CN"/>
        </w:rPr>
        <w:t>杭州临江环境能源有限公司</w:t>
      </w:r>
    </w:p>
    <w:p w14:paraId="3D9D5002">
      <w:pPr>
        <w:autoSpaceDE w:val="0"/>
        <w:autoSpaceDN w:val="0"/>
        <w:adjustRightInd w:val="0"/>
        <w:snapToGrid w:val="0"/>
        <w:spacing w:line="360" w:lineRule="auto"/>
        <w:jc w:val="center"/>
        <w:rPr>
          <w:rFonts w:cs="宋体"/>
          <w:b/>
          <w:snapToGrid w:val="0"/>
          <w:color w:val="auto"/>
          <w:kern w:val="0"/>
          <w:sz w:val="44"/>
          <w:szCs w:val="44"/>
          <w:highlight w:val="none"/>
          <w:lang w:val="zh-CN"/>
        </w:rPr>
      </w:pPr>
      <w:r>
        <w:rPr>
          <w:rFonts w:hint="eastAsia" w:cs="宋体"/>
          <w:b/>
          <w:snapToGrid w:val="0"/>
          <w:color w:val="auto"/>
          <w:kern w:val="0"/>
          <w:sz w:val="44"/>
          <w:szCs w:val="44"/>
          <w:highlight w:val="none"/>
          <w:u w:val="single"/>
        </w:rPr>
        <w:t>2025年—2028年垃圾吊改造项目</w:t>
      </w:r>
    </w:p>
    <w:p w14:paraId="57132242">
      <w:pPr>
        <w:autoSpaceDE w:val="0"/>
        <w:autoSpaceDN w:val="0"/>
        <w:adjustRightInd w:val="0"/>
        <w:snapToGrid w:val="0"/>
        <w:spacing w:line="360" w:lineRule="auto"/>
        <w:jc w:val="center"/>
        <w:rPr>
          <w:rFonts w:cs="宋体"/>
          <w:snapToGrid w:val="0"/>
          <w:color w:val="auto"/>
          <w:kern w:val="0"/>
          <w:sz w:val="52"/>
          <w:szCs w:val="52"/>
          <w:highlight w:val="none"/>
        </w:rPr>
      </w:pPr>
    </w:p>
    <w:p w14:paraId="14162D66">
      <w:pPr>
        <w:autoSpaceDE w:val="0"/>
        <w:autoSpaceDN w:val="0"/>
        <w:adjustRightInd w:val="0"/>
        <w:snapToGrid w:val="0"/>
        <w:spacing w:line="360" w:lineRule="auto"/>
        <w:jc w:val="center"/>
        <w:rPr>
          <w:rFonts w:cs="宋体"/>
          <w:bCs/>
          <w:snapToGrid w:val="0"/>
          <w:color w:val="auto"/>
          <w:kern w:val="0"/>
          <w:sz w:val="72"/>
          <w:szCs w:val="72"/>
          <w:highlight w:val="none"/>
        </w:rPr>
      </w:pPr>
      <w:r>
        <w:rPr>
          <w:rFonts w:hint="eastAsia" w:cs="宋体"/>
          <w:bCs/>
          <w:snapToGrid w:val="0"/>
          <w:color w:val="auto"/>
          <w:kern w:val="0"/>
          <w:sz w:val="72"/>
          <w:szCs w:val="72"/>
          <w:highlight w:val="none"/>
        </w:rPr>
        <w:t>招标文件</w:t>
      </w:r>
    </w:p>
    <w:p w14:paraId="31D8595A">
      <w:pPr>
        <w:autoSpaceDE w:val="0"/>
        <w:autoSpaceDN w:val="0"/>
        <w:adjustRightInd w:val="0"/>
        <w:snapToGrid w:val="0"/>
        <w:spacing w:line="360" w:lineRule="auto"/>
        <w:jc w:val="center"/>
        <w:rPr>
          <w:rFonts w:cs="宋体"/>
          <w:b/>
          <w:snapToGrid w:val="0"/>
          <w:color w:val="auto"/>
          <w:kern w:val="0"/>
          <w:szCs w:val="32"/>
          <w:highlight w:val="none"/>
        </w:rPr>
      </w:pPr>
    </w:p>
    <w:p w14:paraId="53E8AD7B">
      <w:pPr>
        <w:autoSpaceDE w:val="0"/>
        <w:autoSpaceDN w:val="0"/>
        <w:adjustRightInd w:val="0"/>
        <w:snapToGrid w:val="0"/>
        <w:spacing w:line="360" w:lineRule="auto"/>
        <w:ind w:firstLine="2184" w:firstLineChars="700"/>
        <w:jc w:val="left"/>
        <w:rPr>
          <w:rFonts w:cs="宋体"/>
          <w:b/>
          <w:snapToGrid w:val="0"/>
          <w:color w:val="auto"/>
          <w:kern w:val="0"/>
          <w:szCs w:val="32"/>
          <w:highlight w:val="none"/>
        </w:rPr>
      </w:pPr>
      <w:r>
        <w:rPr>
          <w:rFonts w:hint="eastAsia" w:cs="宋体"/>
          <w:b/>
          <w:snapToGrid w:val="0"/>
          <w:color w:val="auto"/>
          <w:kern w:val="0"/>
          <w:szCs w:val="32"/>
          <w:highlight w:val="none"/>
        </w:rPr>
        <w:t>招标编号：</w:t>
      </w:r>
      <w:r>
        <w:rPr>
          <w:rFonts w:hint="eastAsia" w:cs="宋体"/>
          <w:b/>
          <w:snapToGrid w:val="0"/>
          <w:color w:val="auto"/>
          <w:kern w:val="0"/>
          <w:szCs w:val="32"/>
          <w:highlight w:val="none"/>
          <w:u w:val="single"/>
        </w:rPr>
        <w:t xml:space="preserve"> </w:t>
      </w:r>
      <w:r>
        <w:rPr>
          <w:rFonts w:hint="eastAsia" w:cs="宋体"/>
          <w:b/>
          <w:snapToGrid w:val="0"/>
          <w:color w:val="auto"/>
          <w:kern w:val="0"/>
          <w:szCs w:val="32"/>
          <w:highlight w:val="none"/>
          <w:u w:val="single"/>
          <w:lang w:eastAsia="zh-CN"/>
        </w:rPr>
        <w:t>NY-1FZB2505026</w:t>
      </w:r>
      <w:r>
        <w:rPr>
          <w:rFonts w:hint="eastAsia" w:cs="宋体"/>
          <w:b/>
          <w:snapToGrid w:val="0"/>
          <w:color w:val="auto"/>
          <w:kern w:val="0"/>
          <w:szCs w:val="32"/>
          <w:highlight w:val="none"/>
          <w:u w:val="single"/>
        </w:rPr>
        <w:t xml:space="preserve"> </w:t>
      </w:r>
    </w:p>
    <w:p w14:paraId="20543515">
      <w:pPr>
        <w:pStyle w:val="12"/>
        <w:snapToGrid w:val="0"/>
        <w:spacing w:line="360" w:lineRule="auto"/>
        <w:jc w:val="center"/>
        <w:rPr>
          <w:rFonts w:ascii="Times New Roman" w:hAnsi="Times New Roman" w:cs="宋体"/>
          <w:snapToGrid w:val="0"/>
          <w:color w:val="auto"/>
          <w:sz w:val="32"/>
          <w:highlight w:val="none"/>
        </w:rPr>
      </w:pPr>
    </w:p>
    <w:p w14:paraId="59852199">
      <w:pPr>
        <w:pStyle w:val="12"/>
        <w:snapToGrid w:val="0"/>
        <w:spacing w:line="360" w:lineRule="auto"/>
        <w:jc w:val="center"/>
        <w:rPr>
          <w:rFonts w:ascii="Times New Roman" w:hAnsi="Times New Roman" w:cs="宋体"/>
          <w:snapToGrid w:val="0"/>
          <w:color w:val="auto"/>
          <w:sz w:val="32"/>
          <w:highlight w:val="none"/>
        </w:rPr>
      </w:pPr>
    </w:p>
    <w:p w14:paraId="6366C28C">
      <w:pPr>
        <w:pStyle w:val="12"/>
        <w:snapToGrid w:val="0"/>
        <w:spacing w:line="360" w:lineRule="auto"/>
        <w:jc w:val="center"/>
        <w:rPr>
          <w:rFonts w:ascii="Times New Roman" w:hAnsi="Times New Roman" w:cs="宋体"/>
          <w:snapToGrid w:val="0"/>
          <w:color w:val="auto"/>
          <w:sz w:val="32"/>
          <w:highlight w:val="none"/>
        </w:rPr>
      </w:pPr>
    </w:p>
    <w:p w14:paraId="78425823">
      <w:pPr>
        <w:pStyle w:val="12"/>
        <w:snapToGrid w:val="0"/>
        <w:spacing w:line="360" w:lineRule="auto"/>
        <w:jc w:val="center"/>
        <w:rPr>
          <w:rFonts w:ascii="Times New Roman" w:hAnsi="Times New Roman" w:cs="宋体"/>
          <w:snapToGrid w:val="0"/>
          <w:color w:val="auto"/>
          <w:sz w:val="32"/>
          <w:highlight w:val="none"/>
        </w:rPr>
      </w:pPr>
    </w:p>
    <w:p w14:paraId="243C2A68">
      <w:pPr>
        <w:pStyle w:val="12"/>
        <w:snapToGrid w:val="0"/>
        <w:spacing w:line="360" w:lineRule="auto"/>
        <w:jc w:val="center"/>
        <w:rPr>
          <w:rFonts w:ascii="Times New Roman" w:hAnsi="Times New Roman" w:cs="宋体"/>
          <w:snapToGrid w:val="0"/>
          <w:color w:val="auto"/>
          <w:sz w:val="32"/>
          <w:highlight w:val="none"/>
        </w:rPr>
      </w:pPr>
    </w:p>
    <w:p w14:paraId="33339CA4">
      <w:pPr>
        <w:pStyle w:val="12"/>
        <w:snapToGrid w:val="0"/>
        <w:spacing w:line="360" w:lineRule="auto"/>
        <w:jc w:val="center"/>
        <w:rPr>
          <w:rFonts w:ascii="Times New Roman" w:hAnsi="Times New Roman" w:cs="宋体"/>
          <w:snapToGrid w:val="0"/>
          <w:color w:val="auto"/>
          <w:sz w:val="32"/>
          <w:highlight w:val="none"/>
        </w:rPr>
      </w:pPr>
    </w:p>
    <w:tbl>
      <w:tblPr>
        <w:tblStyle w:val="26"/>
        <w:tblW w:w="9099" w:type="dxa"/>
        <w:jc w:val="center"/>
        <w:tblLayout w:type="fixed"/>
        <w:tblCellMar>
          <w:top w:w="0" w:type="dxa"/>
          <w:left w:w="108" w:type="dxa"/>
          <w:bottom w:w="0" w:type="dxa"/>
          <w:right w:w="108" w:type="dxa"/>
        </w:tblCellMar>
      </w:tblPr>
      <w:tblGrid>
        <w:gridCol w:w="2376"/>
        <w:gridCol w:w="6723"/>
      </w:tblGrid>
      <w:tr w14:paraId="778932EE">
        <w:tblPrEx>
          <w:tblCellMar>
            <w:top w:w="0" w:type="dxa"/>
            <w:left w:w="108" w:type="dxa"/>
            <w:bottom w:w="0" w:type="dxa"/>
            <w:right w:w="108" w:type="dxa"/>
          </w:tblCellMar>
        </w:tblPrEx>
        <w:trPr>
          <w:trHeight w:val="822" w:hRule="atLeast"/>
          <w:jc w:val="center"/>
        </w:trPr>
        <w:tc>
          <w:tcPr>
            <w:tcW w:w="2376" w:type="dxa"/>
            <w:vAlign w:val="center"/>
          </w:tcPr>
          <w:p w14:paraId="5E0D16A5">
            <w:pPr>
              <w:pStyle w:val="12"/>
              <w:snapToGrid w:val="0"/>
              <w:jc w:val="center"/>
              <w:rPr>
                <w:rFonts w:ascii="Times New Roman" w:hAnsi="Times New Roman" w:cs="宋体"/>
                <w:snapToGrid w:val="0"/>
                <w:color w:val="auto"/>
                <w:sz w:val="32"/>
                <w:highlight w:val="none"/>
              </w:rPr>
            </w:pPr>
            <w:r>
              <w:rPr>
                <w:rFonts w:hint="eastAsia" w:ascii="Times New Roman" w:hAnsi="Times New Roman" w:cs="宋体"/>
                <w:snapToGrid w:val="0"/>
                <w:color w:val="auto"/>
                <w:sz w:val="32"/>
                <w:highlight w:val="none"/>
              </w:rPr>
              <w:t>招 标 人：</w:t>
            </w:r>
          </w:p>
        </w:tc>
        <w:tc>
          <w:tcPr>
            <w:tcW w:w="6723" w:type="dxa"/>
            <w:vAlign w:val="center"/>
          </w:tcPr>
          <w:p w14:paraId="372A9454">
            <w:pPr>
              <w:pStyle w:val="12"/>
              <w:snapToGrid w:val="0"/>
              <w:jc w:val="left"/>
              <w:rPr>
                <w:rFonts w:ascii="Times New Roman" w:hAnsi="Times New Roman" w:cs="宋体"/>
                <w:snapToGrid w:val="0"/>
                <w:color w:val="auto"/>
                <w:sz w:val="32"/>
                <w:highlight w:val="none"/>
              </w:rPr>
            </w:pPr>
            <w:r>
              <w:rPr>
                <w:rFonts w:hint="eastAsia" w:ascii="Times New Roman" w:hAnsi="Times New Roman" w:cs="宋体"/>
                <w:snapToGrid w:val="0"/>
                <w:color w:val="auto"/>
                <w:sz w:val="32"/>
                <w:highlight w:val="none"/>
                <w:u w:val="single"/>
              </w:rPr>
              <w:t xml:space="preserve">  </w:t>
            </w:r>
            <w:r>
              <w:rPr>
                <w:rFonts w:hint="eastAsia" w:hAnsi="宋体" w:cs="宋体"/>
                <w:color w:val="auto"/>
                <w:sz w:val="31"/>
                <w:szCs w:val="31"/>
                <w:highlight w:val="none"/>
                <w:u w:val="single"/>
              </w:rPr>
              <w:t>杭州临江环境能源有限公司</w:t>
            </w:r>
            <w:r>
              <w:rPr>
                <w:rFonts w:hint="eastAsia" w:ascii="Times New Roman" w:hAnsi="Times New Roman" w:cs="宋体"/>
                <w:snapToGrid w:val="0"/>
                <w:color w:val="auto"/>
                <w:sz w:val="32"/>
                <w:highlight w:val="none"/>
                <w:u w:val="single"/>
              </w:rPr>
              <w:t xml:space="preserve">  </w:t>
            </w:r>
            <w:r>
              <w:rPr>
                <w:rFonts w:hint="eastAsia" w:ascii="Times New Roman" w:hAnsi="Times New Roman" w:cs="宋体"/>
                <w:snapToGrid w:val="0"/>
                <w:color w:val="auto"/>
                <w:sz w:val="32"/>
                <w:highlight w:val="none"/>
              </w:rPr>
              <w:t>（盖单位公章）</w:t>
            </w:r>
          </w:p>
        </w:tc>
      </w:tr>
      <w:tr w14:paraId="091C4566">
        <w:tblPrEx>
          <w:tblCellMar>
            <w:top w:w="0" w:type="dxa"/>
            <w:left w:w="108" w:type="dxa"/>
            <w:bottom w:w="0" w:type="dxa"/>
            <w:right w:w="108" w:type="dxa"/>
          </w:tblCellMar>
        </w:tblPrEx>
        <w:trPr>
          <w:trHeight w:val="694" w:hRule="atLeast"/>
          <w:jc w:val="center"/>
        </w:trPr>
        <w:tc>
          <w:tcPr>
            <w:tcW w:w="2376" w:type="dxa"/>
            <w:vAlign w:val="center"/>
          </w:tcPr>
          <w:p w14:paraId="6573BB30">
            <w:pPr>
              <w:pStyle w:val="12"/>
              <w:snapToGrid w:val="0"/>
              <w:jc w:val="center"/>
              <w:rPr>
                <w:rFonts w:ascii="Times New Roman" w:hAnsi="Times New Roman" w:cs="宋体"/>
                <w:snapToGrid w:val="0"/>
                <w:color w:val="auto"/>
                <w:sz w:val="32"/>
                <w:highlight w:val="none"/>
              </w:rPr>
            </w:pPr>
            <w:r>
              <w:rPr>
                <w:rFonts w:hint="eastAsia" w:ascii="Times New Roman" w:hAnsi="Times New Roman" w:cs="宋体"/>
                <w:snapToGrid w:val="0"/>
                <w:color w:val="auto"/>
                <w:sz w:val="32"/>
                <w:highlight w:val="none"/>
              </w:rPr>
              <w:t>招标代理：</w:t>
            </w:r>
          </w:p>
        </w:tc>
        <w:tc>
          <w:tcPr>
            <w:tcW w:w="6723" w:type="dxa"/>
            <w:vAlign w:val="center"/>
          </w:tcPr>
          <w:p w14:paraId="23E0FB7A">
            <w:pPr>
              <w:pStyle w:val="12"/>
              <w:snapToGrid w:val="0"/>
              <w:jc w:val="left"/>
              <w:rPr>
                <w:rFonts w:ascii="Times New Roman" w:hAnsi="Times New Roman" w:cs="宋体"/>
                <w:snapToGrid w:val="0"/>
                <w:color w:val="auto"/>
                <w:sz w:val="32"/>
                <w:highlight w:val="none"/>
              </w:rPr>
            </w:pPr>
            <w:r>
              <w:rPr>
                <w:rFonts w:hint="eastAsia" w:ascii="Times New Roman" w:hAnsi="Times New Roman" w:cs="宋体"/>
                <w:snapToGrid w:val="0"/>
                <w:color w:val="auto"/>
                <w:sz w:val="32"/>
                <w:highlight w:val="none"/>
                <w:u w:val="single"/>
              </w:rPr>
              <w:t xml:space="preserve"> </w:t>
            </w:r>
            <w:bookmarkStart w:id="1" w:name="OLE_LINK9"/>
            <w:r>
              <w:rPr>
                <w:rFonts w:hint="eastAsia" w:hAnsi="宋体" w:cs="宋体"/>
                <w:snapToGrid w:val="0"/>
                <w:color w:val="auto"/>
                <w:sz w:val="32"/>
                <w:highlight w:val="none"/>
                <w:u w:val="single"/>
              </w:rPr>
              <w:t>浙江省成套招标代理有限公司</w:t>
            </w:r>
            <w:bookmarkEnd w:id="1"/>
            <w:r>
              <w:rPr>
                <w:rFonts w:hint="eastAsia" w:ascii="Times New Roman" w:hAnsi="Times New Roman" w:cs="宋体"/>
                <w:snapToGrid w:val="0"/>
                <w:color w:val="auto"/>
                <w:sz w:val="32"/>
                <w:highlight w:val="none"/>
              </w:rPr>
              <w:t>（盖单位公章）</w:t>
            </w:r>
          </w:p>
        </w:tc>
      </w:tr>
      <w:tr w14:paraId="6E20A990">
        <w:tblPrEx>
          <w:tblCellMar>
            <w:top w:w="0" w:type="dxa"/>
            <w:left w:w="108" w:type="dxa"/>
            <w:bottom w:w="0" w:type="dxa"/>
            <w:right w:w="108" w:type="dxa"/>
          </w:tblCellMar>
        </w:tblPrEx>
        <w:trPr>
          <w:trHeight w:val="694" w:hRule="atLeast"/>
          <w:jc w:val="center"/>
        </w:trPr>
        <w:tc>
          <w:tcPr>
            <w:tcW w:w="2376" w:type="dxa"/>
            <w:vAlign w:val="center"/>
          </w:tcPr>
          <w:p w14:paraId="1C9F17DF">
            <w:pPr>
              <w:pStyle w:val="12"/>
              <w:snapToGrid w:val="0"/>
              <w:jc w:val="center"/>
              <w:rPr>
                <w:rFonts w:ascii="Times New Roman" w:hAnsi="Times New Roman" w:cs="宋体"/>
                <w:snapToGrid w:val="0"/>
                <w:color w:val="auto"/>
                <w:sz w:val="32"/>
                <w:highlight w:val="none"/>
              </w:rPr>
            </w:pPr>
          </w:p>
        </w:tc>
        <w:tc>
          <w:tcPr>
            <w:tcW w:w="6723" w:type="dxa"/>
            <w:vAlign w:val="center"/>
          </w:tcPr>
          <w:p w14:paraId="1E639A3C">
            <w:pPr>
              <w:pStyle w:val="12"/>
              <w:snapToGrid w:val="0"/>
              <w:jc w:val="left"/>
              <w:rPr>
                <w:rFonts w:ascii="Times New Roman" w:hAnsi="Times New Roman" w:cs="宋体"/>
                <w:snapToGrid w:val="0"/>
                <w:color w:val="auto"/>
                <w:sz w:val="32"/>
                <w:highlight w:val="none"/>
                <w:u w:val="single"/>
              </w:rPr>
            </w:pPr>
          </w:p>
        </w:tc>
      </w:tr>
      <w:tr w14:paraId="44542BCD">
        <w:tblPrEx>
          <w:tblCellMar>
            <w:top w:w="0" w:type="dxa"/>
            <w:left w:w="108" w:type="dxa"/>
            <w:bottom w:w="0" w:type="dxa"/>
            <w:right w:w="108" w:type="dxa"/>
          </w:tblCellMar>
        </w:tblPrEx>
        <w:trPr>
          <w:trHeight w:val="562" w:hRule="atLeast"/>
          <w:jc w:val="center"/>
        </w:trPr>
        <w:tc>
          <w:tcPr>
            <w:tcW w:w="9099" w:type="dxa"/>
            <w:gridSpan w:val="2"/>
            <w:vAlign w:val="center"/>
          </w:tcPr>
          <w:p w14:paraId="7615FB3C">
            <w:pPr>
              <w:pStyle w:val="12"/>
              <w:snapToGrid w:val="0"/>
              <w:jc w:val="center"/>
              <w:rPr>
                <w:rFonts w:ascii="Times New Roman" w:hAnsi="Times New Roman" w:cs="宋体"/>
                <w:snapToGrid w:val="0"/>
                <w:color w:val="auto"/>
                <w:sz w:val="32"/>
                <w:highlight w:val="none"/>
              </w:rPr>
            </w:pPr>
            <w:r>
              <w:rPr>
                <w:rFonts w:hint="eastAsia" w:ascii="Times New Roman" w:hAnsi="Times New Roman" w:cs="宋体"/>
                <w:snapToGrid w:val="0"/>
                <w:color w:val="auto"/>
                <w:sz w:val="32"/>
                <w:highlight w:val="none"/>
              </w:rPr>
              <w:t>日期：2025年</w:t>
            </w:r>
            <w:r>
              <w:rPr>
                <w:rFonts w:hint="eastAsia" w:ascii="Times New Roman" w:hAnsi="Times New Roman" w:cs="宋体"/>
                <w:snapToGrid w:val="0"/>
                <w:color w:val="auto"/>
                <w:sz w:val="32"/>
                <w:highlight w:val="none"/>
                <w:lang w:val="en-US" w:eastAsia="zh-CN"/>
              </w:rPr>
              <w:t>5</w:t>
            </w:r>
            <w:r>
              <w:rPr>
                <w:rFonts w:hint="eastAsia" w:ascii="Times New Roman" w:hAnsi="Times New Roman" w:cs="宋体"/>
                <w:snapToGrid w:val="0"/>
                <w:color w:val="auto"/>
                <w:sz w:val="32"/>
                <w:highlight w:val="none"/>
              </w:rPr>
              <w:t>月</w:t>
            </w:r>
            <w:r>
              <w:rPr>
                <w:rFonts w:hint="eastAsia" w:ascii="Times New Roman" w:hAnsi="Times New Roman" w:cs="宋体"/>
                <w:snapToGrid w:val="0"/>
                <w:color w:val="auto"/>
                <w:sz w:val="32"/>
                <w:highlight w:val="none"/>
                <w:lang w:val="en-US" w:eastAsia="zh-CN"/>
              </w:rPr>
              <w:t>6</w:t>
            </w:r>
            <w:r>
              <w:rPr>
                <w:rFonts w:hint="eastAsia" w:ascii="Times New Roman" w:hAnsi="Times New Roman" w:cs="宋体"/>
                <w:snapToGrid w:val="0"/>
                <w:color w:val="auto"/>
                <w:sz w:val="32"/>
                <w:highlight w:val="none"/>
              </w:rPr>
              <w:t>日</w:t>
            </w:r>
          </w:p>
        </w:tc>
      </w:tr>
    </w:tbl>
    <w:p w14:paraId="6C212CD0">
      <w:pPr>
        <w:spacing w:line="560" w:lineRule="exact"/>
        <w:jc w:val="center"/>
        <w:rPr>
          <w:rFonts w:eastAsia="宋体" w:cs="宋体"/>
          <w:b/>
          <w:bCs/>
          <w:color w:val="auto"/>
          <w:sz w:val="44"/>
          <w:szCs w:val="44"/>
          <w:highlight w:val="none"/>
        </w:rPr>
      </w:pPr>
    </w:p>
    <w:p w14:paraId="4FC1237E">
      <w:pPr>
        <w:widowControl/>
        <w:jc w:val="left"/>
        <w:rPr>
          <w:rFonts w:eastAsia="宋体" w:cs="宋体"/>
          <w:b/>
          <w:bCs/>
          <w:color w:val="auto"/>
          <w:szCs w:val="32"/>
          <w:highlight w:val="none"/>
        </w:rPr>
        <w:sectPr>
          <w:headerReference r:id="rId3" w:type="default"/>
          <w:pgSz w:w="11906" w:h="16838"/>
          <w:pgMar w:top="2098" w:right="1474" w:bottom="1985" w:left="1588" w:header="851" w:footer="737" w:gutter="0"/>
          <w:cols w:space="720" w:num="1"/>
          <w:docGrid w:type="linesAndChars" w:linePitch="579" w:charSpace="-1683"/>
        </w:sectPr>
      </w:pPr>
    </w:p>
    <w:p w14:paraId="3F7B8366">
      <w:pPr>
        <w:jc w:val="center"/>
        <w:rPr>
          <w:rFonts w:cs="仿宋_GB2312"/>
          <w:color w:val="auto"/>
          <w:sz w:val="44"/>
          <w:highlight w:val="none"/>
        </w:rPr>
      </w:pPr>
      <w:r>
        <w:rPr>
          <w:rFonts w:hint="eastAsia" w:cs="仿宋_GB2312"/>
          <w:color w:val="auto"/>
          <w:sz w:val="44"/>
          <w:highlight w:val="none"/>
        </w:rPr>
        <w:t>目  录</w:t>
      </w:r>
    </w:p>
    <w:p w14:paraId="006CA5BE">
      <w:pPr>
        <w:rPr>
          <w:rFonts w:cs="仿宋_GB2312"/>
          <w:color w:val="auto"/>
          <w:highlight w:val="none"/>
        </w:rPr>
      </w:pPr>
    </w:p>
    <w:p w14:paraId="7A364D9B">
      <w:pPr>
        <w:pStyle w:val="17"/>
        <w:keepNext w:val="0"/>
        <w:keepLines w:val="0"/>
        <w:pageBreakBefore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"1-2" \h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_Toc10578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第一章 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_Toc10578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51B888C1">
      <w:pPr>
        <w:pStyle w:val="17"/>
        <w:keepNext w:val="0"/>
        <w:keepLines w:val="0"/>
        <w:pageBreakBefore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_Toc5948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第二章 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_Toc5948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1F7BD1A8">
      <w:pPr>
        <w:pStyle w:val="17"/>
        <w:keepNext w:val="0"/>
        <w:keepLines w:val="0"/>
        <w:pageBreakBefore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_Toc29576 </w:instrText>
      </w:r>
      <w:r>
        <w:rPr>
          <w:rFonts w:hint="eastAsia" w:ascii="仿宋" w:hAnsi="仿宋" w:eastAsia="仿宋" w:cs="仿宋"/>
          <w:sz w:val="24"/>
          <w:szCs w:val="24"/>
          <w:highlight w:val="none"/>
        </w:rPr>
        <w:fldChar w:fldCharType="separate"/>
      </w:r>
      <w:r>
        <w:rPr>
          <w:rFonts w:hint="eastAsia" w:ascii="仿宋" w:hAnsi="仿宋" w:eastAsia="仿宋" w:cs="仿宋"/>
          <w:bCs/>
          <w:kern w:val="44"/>
          <w:sz w:val="24"/>
          <w:szCs w:val="24"/>
        </w:rPr>
        <w:t xml:space="preserve">第三章 </w:t>
      </w:r>
      <w:r>
        <w:rPr>
          <w:rFonts w:hint="eastAsia" w:ascii="仿宋" w:hAnsi="仿宋" w:eastAsia="仿宋" w:cs="仿宋"/>
          <w:bCs/>
          <w:kern w:val="44"/>
          <w:sz w:val="24"/>
          <w:szCs w:val="24"/>
          <w:highlight w:val="none"/>
        </w:rPr>
        <w:t>用户需求及技术要求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_Toc29576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065D487E">
      <w:pPr>
        <w:pStyle w:val="17"/>
        <w:keepNext w:val="0"/>
        <w:keepLines w:val="0"/>
        <w:pageBreakBefore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_Toc22506 </w:instrText>
      </w:r>
      <w:r>
        <w:rPr>
          <w:rFonts w:hint="eastAsia" w:ascii="仿宋" w:hAnsi="仿宋" w:eastAsia="仿宋" w:cs="仿宋"/>
          <w:sz w:val="24"/>
          <w:szCs w:val="24"/>
          <w:highlight w:val="none"/>
        </w:rPr>
        <w:fldChar w:fldCharType="separate"/>
      </w:r>
      <w:r>
        <w:rPr>
          <w:rFonts w:hint="eastAsia" w:ascii="仿宋" w:hAnsi="仿宋" w:eastAsia="仿宋" w:cs="仿宋"/>
          <w:bCs/>
          <w:kern w:val="44"/>
          <w:sz w:val="24"/>
          <w:szCs w:val="24"/>
        </w:rPr>
        <w:t xml:space="preserve">第四章 </w:t>
      </w:r>
      <w:r>
        <w:rPr>
          <w:rFonts w:hint="eastAsia" w:ascii="仿宋" w:hAnsi="仿宋" w:eastAsia="仿宋" w:cs="仿宋"/>
          <w:bCs/>
          <w:kern w:val="44"/>
          <w:sz w:val="24"/>
          <w:szCs w:val="24"/>
          <w:highlight w:val="none"/>
        </w:rPr>
        <w:t>评标方法及评价标准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_Toc22506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5AD0C075">
      <w:pPr>
        <w:pStyle w:val="17"/>
        <w:keepNext w:val="0"/>
        <w:keepLines w:val="0"/>
        <w:pageBreakBefore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_Toc32496 </w:instrText>
      </w:r>
      <w:r>
        <w:rPr>
          <w:rFonts w:hint="eastAsia" w:ascii="仿宋" w:hAnsi="仿宋" w:eastAsia="仿宋" w:cs="仿宋"/>
          <w:sz w:val="24"/>
          <w:szCs w:val="24"/>
          <w:highlight w:val="none"/>
        </w:rPr>
        <w:fldChar w:fldCharType="separate"/>
      </w:r>
      <w:r>
        <w:rPr>
          <w:rFonts w:hint="eastAsia" w:ascii="仿宋" w:hAnsi="仿宋" w:eastAsia="仿宋" w:cs="仿宋"/>
          <w:bCs/>
          <w:kern w:val="44"/>
          <w:sz w:val="24"/>
          <w:szCs w:val="24"/>
        </w:rPr>
        <w:t xml:space="preserve">第五章 </w:t>
      </w:r>
      <w:r>
        <w:rPr>
          <w:rFonts w:hint="eastAsia" w:ascii="仿宋" w:hAnsi="仿宋" w:eastAsia="仿宋" w:cs="仿宋"/>
          <w:bCs/>
          <w:kern w:val="44"/>
          <w:sz w:val="24"/>
          <w:szCs w:val="24"/>
          <w:highlight w:val="none"/>
        </w:rPr>
        <w:t>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_Toc32496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5BF9DEA6">
      <w:pPr>
        <w:pStyle w:val="17"/>
        <w:keepNext w:val="0"/>
        <w:keepLines w:val="0"/>
        <w:pageBreakBefore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_Toc23917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合同条款及格式（仅供参考，以实际签订为准）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_Toc23917 \h </w:instrText>
      </w:r>
      <w:r>
        <w:rPr>
          <w:rFonts w:hint="eastAsia" w:ascii="仿宋" w:hAnsi="仿宋" w:eastAsia="仿宋" w:cs="仿宋"/>
          <w:sz w:val="24"/>
          <w:szCs w:val="24"/>
        </w:rPr>
        <w:fldChar w:fldCharType="separate"/>
      </w:r>
      <w:r>
        <w:rPr>
          <w:rFonts w:hint="eastAsia" w:ascii="仿宋" w:hAnsi="仿宋" w:eastAsia="仿宋" w:cs="仿宋"/>
          <w:sz w:val="24"/>
          <w:szCs w:val="24"/>
        </w:rPr>
        <w:t>59</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53CE3031">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仿宋_GB2312"/>
          <w:color w:val="auto"/>
          <w:highlight w:val="none"/>
        </w:rPr>
        <w:sectPr>
          <w:headerReference r:id="rId4" w:type="default"/>
          <w:footerReference r:id="rId6" w:type="default"/>
          <w:headerReference r:id="rId5" w:type="even"/>
          <w:footerReference r:id="rId7" w:type="even"/>
          <w:pgSz w:w="11906" w:h="16838"/>
          <w:pgMar w:top="1440" w:right="1080" w:bottom="1440" w:left="1080" w:header="0" w:footer="714" w:gutter="0"/>
          <w:cols w:space="720" w:num="1"/>
          <w:docGrid w:linePitch="286" w:charSpace="0"/>
        </w:sectPr>
      </w:pPr>
      <w:r>
        <w:rPr>
          <w:rFonts w:hint="eastAsia" w:ascii="仿宋" w:hAnsi="仿宋" w:eastAsia="仿宋" w:cs="仿宋"/>
          <w:color w:val="auto"/>
          <w:sz w:val="24"/>
          <w:szCs w:val="24"/>
          <w:highlight w:val="none"/>
        </w:rPr>
        <w:fldChar w:fldCharType="end"/>
      </w:r>
      <w:bookmarkStart w:id="2" w:name="_Toc10578"/>
    </w:p>
    <w:p w14:paraId="5DCB8DD8">
      <w:pPr>
        <w:keepNext w:val="0"/>
        <w:keepLines w:val="0"/>
        <w:pageBreakBefore w:val="0"/>
        <w:widowControl/>
        <w:kinsoku/>
        <w:wordWrap/>
        <w:overflowPunct/>
        <w:topLinePunct w:val="0"/>
        <w:autoSpaceDE/>
        <w:autoSpaceDN/>
        <w:bidi w:val="0"/>
        <w:adjustRightInd/>
        <w:spacing w:line="360" w:lineRule="auto"/>
        <w:jc w:val="center"/>
        <w:textAlignment w:val="auto"/>
        <w:rPr>
          <w:rFonts w:eastAsia="黑体" w:cs="黑体"/>
          <w:color w:val="auto"/>
          <w:kern w:val="0"/>
          <w:szCs w:val="32"/>
          <w:highlight w:val="none"/>
        </w:rPr>
      </w:pPr>
      <w:r>
        <w:rPr>
          <w:rFonts w:hint="eastAsia" w:eastAsia="黑体" w:cs="黑体"/>
          <w:color w:val="auto"/>
          <w:kern w:val="0"/>
          <w:szCs w:val="32"/>
          <w:highlight w:val="none"/>
        </w:rPr>
        <w:t>第一章 招</w:t>
      </w:r>
      <w:bookmarkStart w:id="295" w:name="_GoBack"/>
      <w:r>
        <w:rPr>
          <w:rFonts w:hint="eastAsia" w:eastAsia="黑体" w:cs="黑体"/>
          <w:color w:val="auto"/>
          <w:kern w:val="0"/>
          <w:szCs w:val="32"/>
          <w:highlight w:val="none"/>
        </w:rPr>
        <w:t>标公告</w:t>
      </w:r>
      <w:bookmarkEnd w:id="2"/>
      <w:bookmarkEnd w:id="295"/>
    </w:p>
    <w:p w14:paraId="1B3DDFBE">
      <w:pPr>
        <w:adjustRightInd w:val="0"/>
        <w:snapToGrid w:val="0"/>
        <w:spacing w:line="360" w:lineRule="auto"/>
        <w:rPr>
          <w:rFonts w:cs="仿宋_GB2312"/>
          <w:b/>
          <w:color w:val="auto"/>
          <w:sz w:val="24"/>
          <w:highlight w:val="none"/>
        </w:rPr>
      </w:pPr>
      <w:r>
        <w:rPr>
          <w:rFonts w:hint="eastAsia" w:cs="仿宋_GB2312"/>
          <w:b/>
          <w:color w:val="auto"/>
          <w:sz w:val="24"/>
          <w:highlight w:val="none"/>
        </w:rPr>
        <w:t xml:space="preserve">      </w:t>
      </w:r>
    </w:p>
    <w:p w14:paraId="7F5E0B9F">
      <w:pPr>
        <w:adjustRightInd w:val="0"/>
        <w:snapToGrid w:val="0"/>
        <w:spacing w:line="440" w:lineRule="exact"/>
        <w:ind w:firstLine="480" w:firstLineChars="200"/>
        <w:rPr>
          <w:rFonts w:cs="仿宋_GB2312"/>
          <w:color w:val="auto"/>
          <w:sz w:val="24"/>
          <w:highlight w:val="none"/>
        </w:rPr>
      </w:pPr>
      <w:r>
        <w:rPr>
          <w:rFonts w:hint="eastAsia" w:cs="仿宋_GB2312"/>
          <w:color w:val="auto"/>
          <w:sz w:val="24"/>
          <w:highlight w:val="none"/>
        </w:rPr>
        <w:t>招标人</w:t>
      </w:r>
      <w:r>
        <w:rPr>
          <w:rFonts w:hint="eastAsia" w:cs="仿宋_GB2312"/>
          <w:color w:val="auto"/>
          <w:sz w:val="24"/>
          <w:highlight w:val="none"/>
          <w:u w:val="single"/>
        </w:rPr>
        <w:t xml:space="preserve">杭州临江环境能源有限公司 </w:t>
      </w:r>
      <w:r>
        <w:rPr>
          <w:rFonts w:hint="eastAsia" w:cs="仿宋_GB2312"/>
          <w:color w:val="auto"/>
          <w:sz w:val="24"/>
          <w:highlight w:val="none"/>
        </w:rPr>
        <w:t>委托</w:t>
      </w:r>
      <w:r>
        <w:rPr>
          <w:rFonts w:hint="eastAsia" w:cs="仿宋_GB2312"/>
          <w:color w:val="auto"/>
          <w:sz w:val="24"/>
          <w:highlight w:val="none"/>
          <w:u w:val="single"/>
        </w:rPr>
        <w:t xml:space="preserve"> 浙江省成套招标代理有限公司</w:t>
      </w:r>
      <w:r>
        <w:rPr>
          <w:rFonts w:hint="eastAsia" w:cs="仿宋_GB2312"/>
          <w:color w:val="auto"/>
          <w:sz w:val="24"/>
          <w:highlight w:val="none"/>
        </w:rPr>
        <w:t>，对</w:t>
      </w:r>
      <w:r>
        <w:rPr>
          <w:rFonts w:hint="eastAsia" w:cs="仿宋_GB2312"/>
          <w:color w:val="auto"/>
          <w:sz w:val="24"/>
          <w:highlight w:val="none"/>
          <w:u w:val="single"/>
        </w:rPr>
        <w:t xml:space="preserve">2025年—2028年垃圾吊改造项目  </w:t>
      </w:r>
      <w:r>
        <w:rPr>
          <w:rFonts w:hint="eastAsia" w:cs="仿宋_GB2312"/>
          <w:color w:val="auto"/>
          <w:sz w:val="24"/>
          <w:highlight w:val="none"/>
        </w:rPr>
        <w:t>进行</w:t>
      </w:r>
      <w:r>
        <w:rPr>
          <w:rFonts w:hint="eastAsia" w:cs="仿宋_GB2312"/>
          <w:color w:val="auto"/>
          <w:sz w:val="24"/>
          <w:highlight w:val="none"/>
          <w:u w:val="single"/>
        </w:rPr>
        <w:t>公开招标</w:t>
      </w:r>
      <w:r>
        <w:rPr>
          <w:rFonts w:hint="eastAsia" w:cs="仿宋_GB2312"/>
          <w:color w:val="auto"/>
          <w:sz w:val="24"/>
          <w:highlight w:val="none"/>
        </w:rPr>
        <w:t>，欢迎对本项目有兴趣并符合投标人资格条件的投标人参加投标。具体如下：</w:t>
      </w:r>
    </w:p>
    <w:p w14:paraId="55F0BC69">
      <w:pPr>
        <w:adjustRightInd w:val="0"/>
        <w:snapToGrid w:val="0"/>
        <w:spacing w:line="440" w:lineRule="exact"/>
        <w:ind w:firstLine="482" w:firstLineChars="200"/>
        <w:rPr>
          <w:rFonts w:cs="仿宋_GB2312"/>
          <w:b/>
          <w:color w:val="auto"/>
          <w:sz w:val="24"/>
          <w:highlight w:val="none"/>
        </w:rPr>
      </w:pPr>
      <w:r>
        <w:rPr>
          <w:rFonts w:hint="eastAsia" w:cs="仿宋_GB2312"/>
          <w:b/>
          <w:color w:val="auto"/>
          <w:sz w:val="24"/>
          <w:highlight w:val="none"/>
        </w:rPr>
        <w:t>1、招标编号：</w:t>
      </w:r>
      <w:r>
        <w:rPr>
          <w:rFonts w:hint="eastAsia" w:cs="仿宋_GB2312"/>
          <w:bCs/>
          <w:color w:val="auto"/>
          <w:sz w:val="24"/>
          <w:highlight w:val="none"/>
          <w:u w:val="single"/>
          <w:lang w:eastAsia="zh-CN"/>
        </w:rPr>
        <w:t>NY-1FZB2505026</w:t>
      </w:r>
      <w:r>
        <w:rPr>
          <w:rFonts w:hint="eastAsia" w:cs="仿宋_GB2312"/>
          <w:bCs/>
          <w:color w:val="auto"/>
          <w:sz w:val="24"/>
          <w:highlight w:val="none"/>
        </w:rPr>
        <w:t>。</w:t>
      </w:r>
      <w:r>
        <w:rPr>
          <w:rFonts w:hint="eastAsia" w:cs="仿宋_GB2312"/>
          <w:b/>
          <w:color w:val="auto"/>
          <w:sz w:val="24"/>
          <w:highlight w:val="none"/>
        </w:rPr>
        <w:t xml:space="preserve"> </w:t>
      </w:r>
    </w:p>
    <w:p w14:paraId="0F78E67C">
      <w:pPr>
        <w:adjustRightInd w:val="0"/>
        <w:snapToGrid w:val="0"/>
        <w:spacing w:line="440" w:lineRule="exact"/>
        <w:ind w:firstLine="482" w:firstLineChars="200"/>
        <w:rPr>
          <w:rFonts w:cs="仿宋_GB2312"/>
          <w:b/>
          <w:color w:val="auto"/>
          <w:sz w:val="24"/>
          <w:highlight w:val="none"/>
        </w:rPr>
      </w:pPr>
      <w:r>
        <w:rPr>
          <w:rFonts w:hint="eastAsia" w:cs="仿宋_GB2312"/>
          <w:b/>
          <w:color w:val="auto"/>
          <w:sz w:val="24"/>
          <w:highlight w:val="none"/>
        </w:rPr>
        <w:t>2、项目名称：</w:t>
      </w:r>
      <w:r>
        <w:rPr>
          <w:rFonts w:hint="eastAsia" w:cs="仿宋_GB2312"/>
          <w:bCs/>
          <w:color w:val="auto"/>
          <w:sz w:val="24"/>
          <w:highlight w:val="none"/>
          <w:u w:val="single"/>
        </w:rPr>
        <w:t>2025年—2028年垃圾吊改造项目</w:t>
      </w:r>
      <w:r>
        <w:rPr>
          <w:rFonts w:hint="eastAsia" w:cs="仿宋_GB2312"/>
          <w:bCs/>
          <w:color w:val="auto"/>
          <w:sz w:val="24"/>
          <w:highlight w:val="none"/>
        </w:rPr>
        <w:t>。</w:t>
      </w:r>
    </w:p>
    <w:p w14:paraId="2C2ECA76">
      <w:pPr>
        <w:adjustRightInd w:val="0"/>
        <w:snapToGrid w:val="0"/>
        <w:spacing w:line="440" w:lineRule="exact"/>
        <w:ind w:firstLine="482" w:firstLineChars="200"/>
        <w:rPr>
          <w:rFonts w:cs="仿宋_GB2312"/>
          <w:b/>
          <w:color w:val="auto"/>
          <w:sz w:val="24"/>
          <w:highlight w:val="none"/>
        </w:rPr>
      </w:pPr>
      <w:r>
        <w:rPr>
          <w:rFonts w:hint="eastAsia" w:cs="仿宋_GB2312"/>
          <w:b/>
          <w:color w:val="auto"/>
          <w:sz w:val="24"/>
          <w:highlight w:val="none"/>
        </w:rPr>
        <w:t>3、项目地点：</w:t>
      </w:r>
      <w:r>
        <w:rPr>
          <w:rFonts w:hint="eastAsia" w:cs="仿宋_GB2312"/>
          <w:bCs/>
          <w:color w:val="auto"/>
          <w:sz w:val="24"/>
          <w:highlight w:val="none"/>
          <w:u w:val="single"/>
        </w:rPr>
        <w:t>浙江省杭州市钱塘区临江街道红十五路10388-123号</w:t>
      </w:r>
      <w:r>
        <w:rPr>
          <w:rFonts w:hint="eastAsia" w:cs="仿宋_GB2312"/>
          <w:bCs/>
          <w:color w:val="auto"/>
          <w:sz w:val="24"/>
          <w:highlight w:val="none"/>
        </w:rPr>
        <w:t>。</w:t>
      </w:r>
    </w:p>
    <w:p w14:paraId="1A19D92D">
      <w:pPr>
        <w:adjustRightInd w:val="0"/>
        <w:snapToGrid w:val="0"/>
        <w:spacing w:line="440" w:lineRule="exact"/>
        <w:ind w:firstLine="482" w:firstLineChars="200"/>
        <w:rPr>
          <w:rFonts w:cs="仿宋_GB2312"/>
          <w:b/>
          <w:color w:val="auto"/>
          <w:sz w:val="24"/>
          <w:highlight w:val="none"/>
        </w:rPr>
      </w:pPr>
      <w:r>
        <w:rPr>
          <w:rFonts w:hint="eastAsia" w:cs="仿宋_GB2312"/>
          <w:b/>
          <w:color w:val="auto"/>
          <w:sz w:val="24"/>
          <w:highlight w:val="none"/>
        </w:rPr>
        <w:t>4、</w:t>
      </w:r>
      <w:r>
        <w:rPr>
          <w:rFonts w:hint="eastAsia" w:cs="宋体"/>
          <w:b/>
          <w:bCs/>
          <w:color w:val="auto"/>
          <w:sz w:val="22"/>
          <w:szCs w:val="22"/>
          <w:highlight w:val="none"/>
        </w:rPr>
        <w:t>项目本期概算：</w:t>
      </w:r>
      <w:r>
        <w:rPr>
          <w:rFonts w:hint="eastAsia" w:cs="宋体"/>
          <w:bCs/>
          <w:color w:val="auto"/>
          <w:sz w:val="22"/>
          <w:szCs w:val="22"/>
          <w:highlight w:val="none"/>
          <w:u w:val="single"/>
        </w:rPr>
        <w:t xml:space="preserve">   </w:t>
      </w:r>
      <w:r>
        <w:rPr>
          <w:rFonts w:hint="eastAsia" w:cs="宋体"/>
          <w:bCs/>
          <w:color w:val="auto"/>
          <w:sz w:val="22"/>
          <w:szCs w:val="22"/>
          <w:highlight w:val="none"/>
          <w:u w:val="single"/>
          <w:lang w:val="en-US" w:eastAsia="zh-CN"/>
        </w:rPr>
        <w:t>/</w:t>
      </w:r>
      <w:r>
        <w:rPr>
          <w:rFonts w:hint="eastAsia" w:cs="宋体"/>
          <w:bCs/>
          <w:color w:val="auto"/>
          <w:sz w:val="22"/>
          <w:szCs w:val="22"/>
          <w:highlight w:val="none"/>
          <w:u w:val="single"/>
        </w:rPr>
        <w:t xml:space="preserve">    </w:t>
      </w:r>
      <w:r>
        <w:rPr>
          <w:rFonts w:hint="eastAsia" w:cs="宋体"/>
          <w:bCs/>
          <w:color w:val="auto"/>
          <w:sz w:val="22"/>
          <w:szCs w:val="22"/>
          <w:highlight w:val="none"/>
        </w:rPr>
        <w:t>； 最高限价：</w:t>
      </w:r>
      <w:r>
        <w:rPr>
          <w:rFonts w:hint="eastAsia" w:cs="宋体"/>
          <w:bCs/>
          <w:color w:val="auto"/>
          <w:sz w:val="22"/>
          <w:szCs w:val="22"/>
          <w:highlight w:val="none"/>
          <w:u w:val="single"/>
        </w:rPr>
        <w:t xml:space="preserve"> </w:t>
      </w:r>
      <w:r>
        <w:rPr>
          <w:rFonts w:hint="eastAsia" w:cs="宋体"/>
          <w:bCs/>
          <w:color w:val="auto"/>
          <w:sz w:val="22"/>
          <w:szCs w:val="22"/>
          <w:highlight w:val="none"/>
          <w:u w:val="single"/>
          <w:lang w:eastAsia="zh-CN"/>
        </w:rPr>
        <w:t>785.6</w:t>
      </w:r>
      <w:r>
        <w:rPr>
          <w:rFonts w:hint="eastAsia" w:cs="宋体"/>
          <w:bCs/>
          <w:color w:val="auto"/>
          <w:sz w:val="22"/>
          <w:szCs w:val="22"/>
          <w:highlight w:val="none"/>
          <w:u w:val="single"/>
        </w:rPr>
        <w:t xml:space="preserve">万元 </w:t>
      </w:r>
      <w:r>
        <w:rPr>
          <w:rFonts w:hint="eastAsia" w:cs="宋体"/>
          <w:bCs/>
          <w:color w:val="auto"/>
          <w:sz w:val="22"/>
          <w:szCs w:val="22"/>
          <w:highlight w:val="none"/>
        </w:rPr>
        <w:t>；资金来源：</w:t>
      </w:r>
      <w:r>
        <w:rPr>
          <w:rFonts w:hint="eastAsia" w:cs="宋体"/>
          <w:bCs/>
          <w:color w:val="auto"/>
          <w:sz w:val="22"/>
          <w:szCs w:val="22"/>
          <w:highlight w:val="none"/>
          <w:u w:val="single"/>
        </w:rPr>
        <w:t xml:space="preserve"> 自筹 </w:t>
      </w:r>
      <w:r>
        <w:rPr>
          <w:rFonts w:hint="eastAsia" w:cs="宋体"/>
          <w:bCs/>
          <w:color w:val="auto"/>
          <w:sz w:val="22"/>
          <w:szCs w:val="22"/>
          <w:highlight w:val="none"/>
        </w:rPr>
        <w:t>。</w:t>
      </w:r>
    </w:p>
    <w:p w14:paraId="6CAD51B0">
      <w:pPr>
        <w:adjustRightInd w:val="0"/>
        <w:snapToGrid w:val="0"/>
        <w:spacing w:line="440" w:lineRule="exact"/>
        <w:ind w:firstLine="482" w:firstLineChars="200"/>
        <w:rPr>
          <w:rFonts w:cs="仿宋_GB2312"/>
          <w:b/>
          <w:color w:val="auto"/>
          <w:sz w:val="24"/>
          <w:highlight w:val="none"/>
        </w:rPr>
      </w:pPr>
      <w:r>
        <w:rPr>
          <w:rFonts w:hint="eastAsia" w:cs="仿宋_GB2312"/>
          <w:b/>
          <w:color w:val="auto"/>
          <w:sz w:val="24"/>
          <w:highlight w:val="none"/>
        </w:rPr>
        <w:t>5、招标人：</w:t>
      </w:r>
      <w:r>
        <w:rPr>
          <w:rFonts w:hint="eastAsia" w:cs="仿宋_GB2312"/>
          <w:bCs/>
          <w:color w:val="auto"/>
          <w:sz w:val="24"/>
          <w:highlight w:val="none"/>
          <w:u w:val="single"/>
        </w:rPr>
        <w:t xml:space="preserve"> 杭州临江环境能源有限公司 。</w:t>
      </w:r>
    </w:p>
    <w:p w14:paraId="5023AB92">
      <w:pPr>
        <w:adjustRightInd w:val="0"/>
        <w:snapToGrid w:val="0"/>
        <w:spacing w:line="440" w:lineRule="exact"/>
        <w:ind w:firstLine="482" w:firstLineChars="200"/>
        <w:rPr>
          <w:rFonts w:cs="仿宋_GB2312"/>
          <w:b/>
          <w:color w:val="auto"/>
          <w:sz w:val="24"/>
          <w:highlight w:val="none"/>
        </w:rPr>
      </w:pPr>
      <w:r>
        <w:rPr>
          <w:rFonts w:hint="eastAsia" w:cs="仿宋_GB2312"/>
          <w:b/>
          <w:color w:val="auto"/>
          <w:sz w:val="24"/>
          <w:highlight w:val="none"/>
        </w:rPr>
        <w:t>6、</w:t>
      </w:r>
      <w:r>
        <w:rPr>
          <w:rFonts w:hint="eastAsia" w:cs="仿宋_GB2312"/>
          <w:b/>
          <w:color w:val="auto"/>
          <w:sz w:val="24"/>
          <w:highlight w:val="none"/>
          <w:lang w:val="zh-CN"/>
        </w:rPr>
        <w:t>采购人：</w:t>
      </w:r>
      <w:r>
        <w:rPr>
          <w:rFonts w:hint="eastAsia" w:cs="仿宋_GB2312"/>
          <w:bCs/>
          <w:color w:val="auto"/>
          <w:sz w:val="24"/>
          <w:highlight w:val="none"/>
          <w:u w:val="single"/>
        </w:rPr>
        <w:t xml:space="preserve"> 杭州临江环境能源有限公司 。</w:t>
      </w:r>
    </w:p>
    <w:p w14:paraId="0379E9C4">
      <w:pPr>
        <w:adjustRightInd w:val="0"/>
        <w:snapToGrid w:val="0"/>
        <w:spacing w:line="440" w:lineRule="exact"/>
        <w:ind w:firstLine="482" w:firstLineChars="200"/>
        <w:rPr>
          <w:rFonts w:cs="仿宋_GB2312"/>
          <w:color w:val="auto"/>
          <w:sz w:val="24"/>
          <w:highlight w:val="none"/>
        </w:rPr>
      </w:pPr>
      <w:r>
        <w:rPr>
          <w:rFonts w:hint="eastAsia" w:cs="仿宋_GB2312"/>
          <w:b/>
          <w:color w:val="auto"/>
          <w:sz w:val="24"/>
          <w:highlight w:val="none"/>
        </w:rPr>
        <w:t>7、招标范围及内容：</w:t>
      </w:r>
      <w:r>
        <w:rPr>
          <w:rFonts w:hint="eastAsia" w:cs="仿宋_GB2312"/>
          <w:bCs/>
          <w:color w:val="auto"/>
          <w:sz w:val="24"/>
          <w:highlight w:val="none"/>
          <w:u w:val="single"/>
        </w:rPr>
        <w:t>4年内根据招标人检修计划对6台</w:t>
      </w:r>
      <w:r>
        <w:rPr>
          <w:rFonts w:hint="eastAsia" w:cs="仿宋_GB2312"/>
          <w:bCs/>
          <w:color w:val="auto"/>
          <w:sz w:val="24"/>
          <w:highlight w:val="none"/>
          <w:u w:val="single"/>
          <w:lang w:val="zh-CN"/>
        </w:rPr>
        <w:t>垃圾吊</w:t>
      </w:r>
      <w:r>
        <w:rPr>
          <w:rFonts w:hint="eastAsia" w:cs="仿宋_GB2312"/>
          <w:bCs/>
          <w:color w:val="auto"/>
          <w:sz w:val="24"/>
          <w:highlight w:val="none"/>
          <w:u w:val="single"/>
        </w:rPr>
        <w:t>逐台改造，每台改造期限自招标人发出通知起90天内完成。</w:t>
      </w:r>
      <w:r>
        <w:rPr>
          <w:rFonts w:hint="eastAsia" w:cs="仿宋_GB2312"/>
          <w:color w:val="auto"/>
          <w:sz w:val="24"/>
          <w:highlight w:val="none"/>
        </w:rPr>
        <w:t>详见招标文件第三章“用户需求及技术要求”。</w:t>
      </w:r>
    </w:p>
    <w:p w14:paraId="7709C2FD">
      <w:pPr>
        <w:adjustRightInd w:val="0"/>
        <w:snapToGrid w:val="0"/>
        <w:spacing w:line="440" w:lineRule="exact"/>
        <w:ind w:firstLine="482" w:firstLineChars="200"/>
        <w:rPr>
          <w:rFonts w:cs="仿宋_GB2312"/>
          <w:b/>
          <w:color w:val="auto"/>
          <w:sz w:val="24"/>
          <w:highlight w:val="none"/>
        </w:rPr>
      </w:pPr>
      <w:r>
        <w:rPr>
          <w:rFonts w:hint="eastAsia" w:cs="仿宋_GB2312"/>
          <w:b/>
          <w:color w:val="auto"/>
          <w:sz w:val="24"/>
          <w:highlight w:val="none"/>
        </w:rPr>
        <w:t>8、投标人资格条件</w:t>
      </w:r>
    </w:p>
    <w:p w14:paraId="4C8A6C5B">
      <w:pPr>
        <w:adjustRightInd w:val="0"/>
        <w:snapToGrid w:val="0"/>
        <w:spacing w:line="440" w:lineRule="exact"/>
        <w:ind w:firstLine="480" w:firstLineChars="200"/>
        <w:rPr>
          <w:rFonts w:cs="仿宋_GB2312"/>
          <w:strike/>
          <w:color w:val="auto"/>
          <w:sz w:val="24"/>
          <w:highlight w:val="none"/>
        </w:rPr>
      </w:pPr>
      <w:r>
        <w:rPr>
          <w:rFonts w:hint="eastAsia" w:cs="仿宋_GB2312"/>
          <w:snapToGrid w:val="0"/>
          <w:color w:val="auto"/>
          <w:kern w:val="0"/>
          <w:sz w:val="24"/>
          <w:highlight w:val="none"/>
          <w:lang w:val="zh-CN"/>
        </w:rPr>
        <w:t>（</w:t>
      </w:r>
      <w:r>
        <w:rPr>
          <w:rFonts w:hint="eastAsia" w:cs="仿宋_GB2312"/>
          <w:snapToGrid w:val="0"/>
          <w:color w:val="auto"/>
          <w:kern w:val="0"/>
          <w:sz w:val="24"/>
          <w:highlight w:val="none"/>
        </w:rPr>
        <w:t>1</w:t>
      </w:r>
      <w:r>
        <w:rPr>
          <w:rFonts w:hint="eastAsia" w:cs="仿宋_GB2312"/>
          <w:snapToGrid w:val="0"/>
          <w:color w:val="auto"/>
          <w:kern w:val="0"/>
          <w:sz w:val="24"/>
          <w:highlight w:val="none"/>
          <w:lang w:val="zh-CN"/>
        </w:rPr>
        <w:t>）在</w:t>
      </w:r>
      <w:r>
        <w:rPr>
          <w:rFonts w:hint="eastAsia" w:cs="仿宋_GB2312"/>
          <w:color w:val="auto"/>
          <w:sz w:val="24"/>
          <w:highlight w:val="none"/>
        </w:rPr>
        <w:t>中华人民共和国境内（</w:t>
      </w:r>
      <w:r>
        <w:rPr>
          <w:rFonts w:hint="eastAsia" w:cs="仿宋_GB2312"/>
          <w:color w:val="auto"/>
          <w:sz w:val="24"/>
          <w:highlight w:val="none"/>
          <w:u w:val="single"/>
        </w:rPr>
        <w:t>不含港、澳、台地区</w:t>
      </w:r>
      <w:r>
        <w:rPr>
          <w:rFonts w:hint="eastAsia" w:cs="仿宋_GB2312"/>
          <w:color w:val="auto"/>
          <w:sz w:val="24"/>
          <w:highlight w:val="none"/>
        </w:rPr>
        <w:t>）注册，</w:t>
      </w:r>
      <w:r>
        <w:rPr>
          <w:rFonts w:hint="eastAsia" w:cs="仿宋_GB2312"/>
          <w:color w:val="auto"/>
          <w:sz w:val="24"/>
          <w:highlight w:val="none"/>
        </w:rPr>
        <w:sym w:font="Wingdings 2" w:char="0052"/>
      </w:r>
      <w:r>
        <w:rPr>
          <w:rFonts w:hint="eastAsia" w:cs="仿宋_GB2312"/>
          <w:color w:val="auto"/>
          <w:sz w:val="24"/>
          <w:highlight w:val="none"/>
        </w:rPr>
        <w:t xml:space="preserve"> </w:t>
      </w:r>
      <w:r>
        <w:rPr>
          <w:rFonts w:hint="eastAsia" w:cs="仿宋_GB2312"/>
          <w:color w:val="auto"/>
          <w:sz w:val="24"/>
          <w:highlight w:val="none"/>
          <w:u w:val="single"/>
        </w:rPr>
        <w:t>具有独立法人资格</w:t>
      </w:r>
      <w:r>
        <w:rPr>
          <w:rFonts w:hint="eastAsia" w:cs="仿宋_GB2312"/>
          <w:color w:val="auto"/>
          <w:sz w:val="24"/>
          <w:highlight w:val="none"/>
        </w:rPr>
        <w:t xml:space="preserve"> / </w:t>
      </w:r>
      <w:r>
        <w:rPr>
          <w:rFonts w:hint="eastAsia" w:cs="仿宋_GB2312"/>
          <w:color w:val="auto"/>
          <w:sz w:val="24"/>
          <w:highlight w:val="none"/>
        </w:rPr>
        <w:sym w:font="Wingdings 2" w:char="0052"/>
      </w:r>
      <w:r>
        <w:rPr>
          <w:rFonts w:hint="eastAsia" w:cs="仿宋_GB2312"/>
          <w:color w:val="auto"/>
          <w:sz w:val="24"/>
          <w:highlight w:val="none"/>
        </w:rPr>
        <w:t xml:space="preserve"> </w:t>
      </w:r>
      <w:r>
        <w:rPr>
          <w:rFonts w:hint="eastAsia" w:cs="仿宋_GB2312"/>
          <w:color w:val="auto"/>
          <w:sz w:val="24"/>
          <w:highlight w:val="none"/>
          <w:u w:val="single"/>
        </w:rPr>
        <w:t>具有独立承担民事责任的能力</w:t>
      </w:r>
      <w:r>
        <w:rPr>
          <w:rFonts w:hint="eastAsia" w:cs="仿宋_GB2312"/>
          <w:color w:val="auto"/>
          <w:sz w:val="24"/>
          <w:highlight w:val="none"/>
        </w:rPr>
        <w:t>（提供营业执照（或者事业单位法人证书、社会团体法人登记证书、其他组织登记证明文件，下同）副本复印件（加盖公章），保险、金融、电信、通信等特殊行业可视行业实际情况提供非独立法人的分公司登记证书及总公司唯一授权相关证明材料的扫描件（加盖公章））。</w:t>
      </w:r>
    </w:p>
    <w:p w14:paraId="756BB00E">
      <w:pPr>
        <w:pStyle w:val="22"/>
        <w:adjustRightInd w:val="0"/>
        <w:snapToGrid w:val="0"/>
        <w:spacing w:before="0" w:beforeAutospacing="0" w:after="0" w:afterAutospacing="0" w:line="440" w:lineRule="exact"/>
        <w:ind w:firstLine="480" w:firstLineChars="200"/>
        <w:rPr>
          <w:rFonts w:ascii="Times New Roman" w:hAnsi="Times New Roman" w:eastAsia="仿宋_GB2312" w:cs="仿宋_GB2312"/>
          <w:color w:val="auto"/>
          <w:highlight w:val="none"/>
        </w:rPr>
      </w:pPr>
      <w:r>
        <w:rPr>
          <w:rFonts w:hint="eastAsia" w:ascii="Times New Roman" w:hAnsi="Times New Roman" w:eastAsia="仿宋_GB2312" w:cs="仿宋_GB2312"/>
          <w:snapToGrid w:val="0"/>
          <w:color w:val="auto"/>
          <w:highlight w:val="none"/>
          <w:lang w:val="zh-CN"/>
        </w:rPr>
        <w:t>（2）</w:t>
      </w:r>
      <w:r>
        <w:rPr>
          <w:rFonts w:hint="eastAsia" w:ascii="Times New Roman" w:hAnsi="Times New Roman" w:eastAsia="仿宋_GB2312" w:cs="仿宋_GB2312"/>
          <w:color w:val="auto"/>
          <w:highlight w:val="none"/>
        </w:rPr>
        <w:t>与招标人存在利害关系可能影响招标公正性的单位，不得参加本项目投标 。单位负责人为同一人或者存在控股、管理关系的不同单位，不得同时参加本招标项目投标；</w:t>
      </w:r>
    </w:p>
    <w:p w14:paraId="3F4DF07D">
      <w:pPr>
        <w:pStyle w:val="22"/>
        <w:adjustRightInd w:val="0"/>
        <w:snapToGrid w:val="0"/>
        <w:spacing w:before="0" w:beforeAutospacing="0" w:after="0" w:afterAutospacing="0" w:line="440" w:lineRule="exact"/>
        <w:ind w:firstLine="480" w:firstLineChars="200"/>
        <w:rPr>
          <w:rFonts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（3）投标人具有政府部门核发的有效期内的特种设备生产（或制造）许可证</w:t>
      </w:r>
      <w:r>
        <w:rPr>
          <w:rFonts w:hint="eastAsia" w:ascii="Times New Roman" w:hAnsi="Times New Roman" w:eastAsia="仿宋_GB2312" w:cs="仿宋_GB2312"/>
          <w:color w:val="auto"/>
          <w:highlight w:val="none"/>
          <w:lang w:eastAsia="zh-CN"/>
        </w:rPr>
        <w:t>，</w:t>
      </w:r>
      <w:r>
        <w:rPr>
          <w:rFonts w:hint="eastAsia" w:ascii="Times New Roman" w:hAnsi="Times New Roman" w:eastAsia="仿宋_GB2312" w:cs="仿宋_GB2312"/>
          <w:color w:val="auto"/>
          <w:highlight w:val="none"/>
        </w:rPr>
        <w:t>许可项目必须包含起重机械改造</w:t>
      </w:r>
      <w:r>
        <w:rPr>
          <w:rFonts w:hint="eastAsia" w:ascii="Times New Roman" w:hAnsi="Times New Roman" w:eastAsia="仿宋_GB2312" w:cs="仿宋_GB2312"/>
          <w:color w:val="auto"/>
          <w:highlight w:val="none"/>
          <w:lang w:val="en-US" w:eastAsia="zh-CN"/>
        </w:rPr>
        <w:t>且许可子项目含桥式起重机</w:t>
      </w:r>
      <w:r>
        <w:rPr>
          <w:rFonts w:hint="eastAsia" w:ascii="Times New Roman" w:hAnsi="Times New Roman" w:eastAsia="仿宋_GB2312" w:cs="仿宋_GB2312"/>
          <w:color w:val="auto"/>
          <w:highlight w:val="none"/>
        </w:rPr>
        <w:t>。</w:t>
      </w:r>
    </w:p>
    <w:p w14:paraId="2C0FB85D">
      <w:pPr>
        <w:pStyle w:val="22"/>
        <w:adjustRightInd w:val="0"/>
        <w:snapToGrid w:val="0"/>
        <w:spacing w:before="0" w:beforeAutospacing="0" w:after="0" w:afterAutospacing="0" w:line="440" w:lineRule="exact"/>
        <w:ind w:firstLine="480" w:firstLineChars="200"/>
        <w:rPr>
          <w:rFonts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（4）近三年内，未被“信用中国”（www.creditchina.gov.cn）、中国政府采购网（www.ccgp.gov.cn）等官方网站列入失信被执行人、重大税收违法失信主体、政府采购严重违法失信行为等不良记录名单。</w:t>
      </w:r>
      <w:r>
        <w:rPr>
          <w:rFonts w:hint="eastAsia" w:ascii="Times New Roman" w:hAnsi="Times New Roman" w:eastAsia="仿宋_GB2312" w:cs="仿宋_GB2312"/>
          <w:color w:val="auto"/>
          <w:highlight w:val="none"/>
          <w:lang w:val="zh-CN"/>
        </w:rPr>
        <w:t>（投标人无需提供，以招标代理机构开标当日网站查询结果为准）</w:t>
      </w:r>
      <w:r>
        <w:rPr>
          <w:rFonts w:hint="eastAsia" w:ascii="Times New Roman" w:hAnsi="Times New Roman" w:eastAsia="仿宋_GB2312" w:cs="仿宋_GB2312"/>
          <w:color w:val="auto"/>
          <w:highlight w:val="none"/>
        </w:rPr>
        <w:t>。</w:t>
      </w:r>
    </w:p>
    <w:p w14:paraId="7220902A">
      <w:pPr>
        <w:pStyle w:val="22"/>
        <w:adjustRightInd w:val="0"/>
        <w:snapToGrid w:val="0"/>
        <w:spacing w:before="0" w:beforeAutospacing="0" w:after="0" w:afterAutospacing="0" w:line="440" w:lineRule="exact"/>
        <w:ind w:firstLine="480" w:firstLineChars="200"/>
        <w:rPr>
          <w:rFonts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（5）近两年内未被列入杭州市环境集团有限公司黑名单或者不合格投标人名录库。（投标人无需提供，以招标人提供的名单为准</w:t>
      </w:r>
      <w:r>
        <w:rPr>
          <w:rFonts w:hint="eastAsia" w:ascii="Times New Roman" w:hAnsi="Times New Roman" w:eastAsia="仿宋_GB2312" w:cs="仿宋_GB2312"/>
          <w:color w:val="auto"/>
          <w:highlight w:val="none"/>
          <w:lang w:val="zh-CN"/>
        </w:rPr>
        <w:t>）。</w:t>
      </w:r>
    </w:p>
    <w:p w14:paraId="664786EE">
      <w:pPr>
        <w:pStyle w:val="22"/>
        <w:adjustRightInd w:val="0"/>
        <w:snapToGrid w:val="0"/>
        <w:spacing w:before="0" w:beforeAutospacing="0" w:after="0" w:afterAutospacing="0" w:line="440" w:lineRule="exact"/>
        <w:ind w:firstLine="480" w:firstLineChars="200"/>
        <w:rPr>
          <w:rFonts w:ascii="Times New Roman" w:hAnsi="Times New Roman" w:eastAsia="仿宋_GB2312" w:cs="仿宋_GB2312"/>
          <w:color w:val="auto"/>
          <w:kern w:val="2"/>
          <w:highlight w:val="none"/>
        </w:rPr>
      </w:pPr>
      <w:r>
        <w:rPr>
          <w:rFonts w:hint="eastAsia" w:ascii="Times New Roman" w:hAnsi="Times New Roman" w:eastAsia="仿宋_GB2312" w:cs="仿宋_GB2312"/>
          <w:color w:val="auto"/>
          <w:kern w:val="2"/>
          <w:highlight w:val="none"/>
        </w:rPr>
        <w:t>（6）本项目</w:t>
      </w:r>
      <w:r>
        <w:rPr>
          <w:rFonts w:hint="eastAsia" w:ascii="Times New Roman" w:hAnsi="Times New Roman" w:eastAsia="仿宋_GB2312" w:cs="仿宋_GB2312"/>
          <w:color w:val="auto"/>
          <w:kern w:val="2"/>
          <w:highlight w:val="none"/>
          <w:u w:val="single"/>
        </w:rPr>
        <w:t xml:space="preserve"> 不接受 </w:t>
      </w:r>
      <w:r>
        <w:rPr>
          <w:rFonts w:hint="eastAsia" w:ascii="Times New Roman" w:hAnsi="Times New Roman" w:eastAsia="仿宋_GB2312" w:cs="仿宋_GB2312"/>
          <w:color w:val="auto"/>
          <w:kern w:val="2"/>
          <w:highlight w:val="none"/>
        </w:rPr>
        <w:t>联合体投标。</w:t>
      </w:r>
    </w:p>
    <w:p w14:paraId="6110330C">
      <w:pPr>
        <w:pStyle w:val="22"/>
        <w:adjustRightInd w:val="0"/>
        <w:snapToGrid w:val="0"/>
        <w:spacing w:before="0" w:beforeAutospacing="0" w:after="0" w:afterAutospacing="0" w:line="440" w:lineRule="exact"/>
        <w:ind w:firstLine="480" w:firstLineChars="200"/>
        <w:rPr>
          <w:rFonts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注：上述证明资料须齐全、有效，复印件应加盖投标人单位公章</w:t>
      </w:r>
      <w:r>
        <w:rPr>
          <w:rFonts w:hint="eastAsia" w:ascii="Times New Roman" w:hAnsi="Times New Roman" w:eastAsia="仿宋_GB2312" w:cs="仿宋_GB2312"/>
          <w:b/>
          <w:bCs/>
          <w:color w:val="auto"/>
          <w:highlight w:val="none"/>
        </w:rPr>
        <w:t>（采用非电子招投标方式的，所盖印章均为物理印章，加盖电子印章的将被视为无效，下同）</w:t>
      </w:r>
      <w:r>
        <w:rPr>
          <w:rFonts w:hint="eastAsia" w:ascii="Times New Roman" w:hAnsi="Times New Roman" w:eastAsia="仿宋_GB2312" w:cs="仿宋_GB2312"/>
          <w:color w:val="auto"/>
          <w:highlight w:val="none"/>
        </w:rPr>
        <w:t>，并在投标文件中提供。</w:t>
      </w:r>
    </w:p>
    <w:p w14:paraId="4583445A">
      <w:pPr>
        <w:widowControl/>
        <w:topLinePunct/>
        <w:adjustRightInd w:val="0"/>
        <w:snapToGrid w:val="0"/>
        <w:spacing w:line="440" w:lineRule="exact"/>
        <w:ind w:firstLine="482" w:firstLineChars="200"/>
        <w:outlineLvl w:val="1"/>
        <w:rPr>
          <w:rFonts w:cs="仿宋_GB2312"/>
          <w:b/>
          <w:bCs/>
          <w:color w:val="auto"/>
          <w:kern w:val="0"/>
          <w:sz w:val="24"/>
          <w:highlight w:val="none"/>
        </w:rPr>
      </w:pPr>
      <w:bookmarkStart w:id="3" w:name="_Toc24143"/>
      <w:r>
        <w:rPr>
          <w:rFonts w:hint="eastAsia" w:cs="仿宋_GB2312"/>
          <w:b/>
          <w:bCs/>
          <w:color w:val="auto"/>
          <w:kern w:val="0"/>
          <w:sz w:val="24"/>
          <w:highlight w:val="none"/>
        </w:rPr>
        <w:t>9、投标人登记认证：</w:t>
      </w:r>
      <w:bookmarkEnd w:id="3"/>
    </w:p>
    <w:p w14:paraId="57E2073D">
      <w:pPr>
        <w:widowControl/>
        <w:topLinePunct/>
        <w:adjustRightInd w:val="0"/>
        <w:snapToGrid w:val="0"/>
        <w:spacing w:line="440" w:lineRule="exact"/>
        <w:ind w:firstLine="480" w:firstLineChars="200"/>
        <w:rPr>
          <w:rFonts w:cs="仿宋_GB2312"/>
          <w:color w:val="auto"/>
          <w:kern w:val="0"/>
          <w:sz w:val="24"/>
          <w:highlight w:val="none"/>
        </w:rPr>
      </w:pPr>
      <w:r>
        <w:rPr>
          <w:rFonts w:hint="eastAsia" w:cs="仿宋_GB2312"/>
          <w:color w:val="auto"/>
          <w:kern w:val="0"/>
          <w:sz w:val="24"/>
          <w:highlight w:val="none"/>
        </w:rPr>
        <w:t>（1）凡首次参加城投采购平台投标的投标人，</w:t>
      </w:r>
      <w:r>
        <w:rPr>
          <w:rFonts w:hint="eastAsia" w:cs="仿宋_GB2312"/>
          <w:b/>
          <w:bCs/>
          <w:color w:val="auto"/>
          <w:kern w:val="0"/>
          <w:sz w:val="24"/>
          <w:highlight w:val="none"/>
          <w:u w:val="single"/>
        </w:rPr>
        <w:t>应于报名截止日前</w:t>
      </w:r>
      <w:r>
        <w:rPr>
          <w:rFonts w:hint="eastAsia" w:cs="仿宋_GB2312"/>
          <w:color w:val="auto"/>
          <w:kern w:val="0"/>
          <w:sz w:val="24"/>
          <w:highlight w:val="none"/>
        </w:rPr>
        <w:t>（法定公休日、法定节假日除外）完成“杭州城投采购平台”注册登记和企业信息认证。</w:t>
      </w:r>
    </w:p>
    <w:p w14:paraId="153C8122">
      <w:pPr>
        <w:widowControl/>
        <w:topLinePunct/>
        <w:adjustRightInd w:val="0"/>
        <w:snapToGrid w:val="0"/>
        <w:spacing w:line="440" w:lineRule="exact"/>
        <w:ind w:firstLine="480" w:firstLineChars="200"/>
        <w:rPr>
          <w:rFonts w:cs="仿宋_GB2312"/>
          <w:color w:val="auto"/>
          <w:kern w:val="0"/>
          <w:sz w:val="24"/>
          <w:highlight w:val="none"/>
        </w:rPr>
      </w:pPr>
      <w:r>
        <w:rPr>
          <w:rFonts w:hint="eastAsia" w:cs="仿宋_GB2312"/>
          <w:color w:val="auto"/>
          <w:kern w:val="0"/>
          <w:sz w:val="24"/>
          <w:highlight w:val="none"/>
        </w:rPr>
        <w:t>（2）“杭州城投采购平台”注册登记办理：在杭州城投采购平台网站首页（https://jczx.hzcjtz.com）“平台登录”栏目点击“立即注册”完成企业信息注册登记。咨询电话：400-0666-571。</w:t>
      </w:r>
    </w:p>
    <w:p w14:paraId="4D32C440">
      <w:pPr>
        <w:widowControl/>
        <w:topLinePunct/>
        <w:adjustRightInd w:val="0"/>
        <w:snapToGrid w:val="0"/>
        <w:spacing w:line="440" w:lineRule="exact"/>
        <w:ind w:firstLine="480" w:firstLineChars="200"/>
        <w:rPr>
          <w:rFonts w:cs="仿宋_GB2312"/>
          <w:color w:val="auto"/>
          <w:kern w:val="0"/>
          <w:sz w:val="24"/>
          <w:highlight w:val="none"/>
        </w:rPr>
      </w:pPr>
      <w:r>
        <w:rPr>
          <w:rFonts w:hint="eastAsia" w:cs="仿宋_GB2312"/>
          <w:color w:val="auto"/>
          <w:kern w:val="0"/>
          <w:sz w:val="24"/>
          <w:highlight w:val="none"/>
        </w:rPr>
        <w:t>（3）“杭州城投采购平台”企业信息认证：在杭州城投采购平台网站首页（https://jczx.hzcjtz.com）点击“CA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2F9FAF5B">
      <w:pPr>
        <w:widowControl/>
        <w:topLinePunct/>
        <w:adjustRightInd w:val="0"/>
        <w:snapToGrid w:val="0"/>
        <w:spacing w:line="440" w:lineRule="exact"/>
        <w:ind w:firstLine="482" w:firstLineChars="200"/>
        <w:rPr>
          <w:rFonts w:cs="仿宋_GB2312"/>
          <w:b/>
          <w:bCs/>
          <w:color w:val="auto"/>
          <w:kern w:val="0"/>
          <w:sz w:val="24"/>
          <w:highlight w:val="none"/>
        </w:rPr>
      </w:pPr>
      <w:r>
        <w:rPr>
          <w:rFonts w:hint="eastAsia" w:cs="仿宋_GB2312"/>
          <w:b/>
          <w:bCs/>
          <w:color w:val="auto"/>
          <w:kern w:val="0"/>
          <w:sz w:val="24"/>
          <w:highlight w:val="none"/>
        </w:rPr>
        <w:t>10、投标报名方式：</w:t>
      </w:r>
    </w:p>
    <w:p w14:paraId="1C170350">
      <w:pPr>
        <w:widowControl/>
        <w:topLinePunct/>
        <w:adjustRightInd w:val="0"/>
        <w:snapToGrid w:val="0"/>
        <w:spacing w:line="440" w:lineRule="exact"/>
        <w:ind w:firstLine="480" w:firstLineChars="200"/>
        <w:rPr>
          <w:rFonts w:cs="仿宋_GB2312"/>
          <w:color w:val="auto"/>
          <w:kern w:val="0"/>
          <w:sz w:val="24"/>
          <w:highlight w:val="none"/>
        </w:rPr>
      </w:pPr>
      <w:r>
        <w:rPr>
          <w:rFonts w:hint="eastAsia" w:cs="仿宋_GB2312"/>
          <w:color w:val="auto"/>
          <w:kern w:val="0"/>
          <w:sz w:val="24"/>
          <w:highlight w:val="none"/>
        </w:rPr>
        <w:t>本项目需完成网上报名，具体要求如下：</w:t>
      </w:r>
    </w:p>
    <w:p w14:paraId="39E6D1F4">
      <w:pPr>
        <w:widowControl/>
        <w:topLinePunct/>
        <w:adjustRightInd w:val="0"/>
        <w:snapToGrid w:val="0"/>
        <w:spacing w:line="440" w:lineRule="exact"/>
        <w:ind w:firstLine="480" w:firstLineChars="200"/>
        <w:rPr>
          <w:rFonts w:cs="仿宋_GB2312"/>
          <w:color w:val="auto"/>
          <w:kern w:val="0"/>
          <w:sz w:val="24"/>
          <w:highlight w:val="none"/>
        </w:rPr>
      </w:pPr>
      <w:r>
        <w:rPr>
          <w:rFonts w:hint="eastAsia" w:cs="仿宋_GB2312"/>
          <w:color w:val="auto"/>
          <w:kern w:val="0"/>
          <w:sz w:val="24"/>
          <w:highlight w:val="none"/>
        </w:rPr>
        <w:t>（1）网上报名时间：</w:t>
      </w:r>
      <w:r>
        <w:rPr>
          <w:rFonts w:hint="eastAsia" w:cs="仿宋_GB2312"/>
          <w:color w:val="auto"/>
          <w:kern w:val="0"/>
          <w:sz w:val="24"/>
          <w:highlight w:val="none"/>
          <w:u w:val="single"/>
        </w:rPr>
        <w:t xml:space="preserve"> 2025</w:t>
      </w:r>
      <w:r>
        <w:rPr>
          <w:rFonts w:hint="eastAsia" w:cs="仿宋_GB2312"/>
          <w:color w:val="auto"/>
          <w:kern w:val="0"/>
          <w:sz w:val="24"/>
          <w:highlight w:val="none"/>
        </w:rPr>
        <w:t>年</w:t>
      </w:r>
      <w:r>
        <w:rPr>
          <w:rFonts w:hint="eastAsia" w:cs="仿宋_GB2312"/>
          <w:color w:val="auto"/>
          <w:kern w:val="0"/>
          <w:sz w:val="24"/>
          <w:highlight w:val="none"/>
          <w:u w:val="single"/>
          <w:lang w:val="en-US" w:eastAsia="zh-CN"/>
        </w:rPr>
        <w:t>5</w:t>
      </w:r>
      <w:r>
        <w:rPr>
          <w:rFonts w:hint="eastAsia" w:cs="仿宋_GB2312"/>
          <w:color w:val="auto"/>
          <w:kern w:val="0"/>
          <w:sz w:val="24"/>
          <w:highlight w:val="none"/>
        </w:rPr>
        <w:t>月</w:t>
      </w:r>
      <w:r>
        <w:rPr>
          <w:rFonts w:hint="eastAsia" w:cs="仿宋_GB2312"/>
          <w:color w:val="auto"/>
          <w:kern w:val="0"/>
          <w:sz w:val="24"/>
          <w:highlight w:val="none"/>
          <w:u w:val="single"/>
          <w:lang w:val="en-US" w:eastAsia="zh-CN"/>
        </w:rPr>
        <w:t>6</w:t>
      </w:r>
      <w:r>
        <w:rPr>
          <w:rFonts w:hint="eastAsia" w:cs="仿宋_GB2312"/>
          <w:color w:val="auto"/>
          <w:kern w:val="0"/>
          <w:sz w:val="24"/>
          <w:highlight w:val="none"/>
          <w:u w:val="single"/>
        </w:rPr>
        <w:t xml:space="preserve"> </w:t>
      </w:r>
      <w:r>
        <w:rPr>
          <w:rFonts w:hint="eastAsia" w:cs="仿宋_GB2312"/>
          <w:color w:val="auto"/>
          <w:kern w:val="0"/>
          <w:sz w:val="24"/>
          <w:highlight w:val="none"/>
        </w:rPr>
        <w:t>日</w:t>
      </w:r>
      <w:r>
        <w:rPr>
          <w:rFonts w:hint="eastAsia" w:cs="仿宋_GB2312"/>
          <w:color w:val="auto"/>
          <w:kern w:val="0"/>
          <w:sz w:val="24"/>
          <w:highlight w:val="none"/>
          <w:u w:val="single"/>
          <w:lang w:val="en-US" w:eastAsia="zh-CN"/>
        </w:rPr>
        <w:t>14</w:t>
      </w:r>
      <w:r>
        <w:rPr>
          <w:rFonts w:hint="eastAsia" w:cs="仿宋_GB2312"/>
          <w:color w:val="auto"/>
          <w:kern w:val="0"/>
          <w:sz w:val="24"/>
          <w:highlight w:val="none"/>
        </w:rPr>
        <w:t>时</w:t>
      </w:r>
      <w:r>
        <w:rPr>
          <w:rFonts w:hint="eastAsia" w:cs="仿宋_GB2312"/>
          <w:color w:val="auto"/>
          <w:kern w:val="0"/>
          <w:sz w:val="24"/>
          <w:highlight w:val="none"/>
          <w:u w:val="single"/>
          <w:lang w:val="en-US" w:eastAsia="zh-CN"/>
        </w:rPr>
        <w:t>00</w:t>
      </w:r>
      <w:r>
        <w:rPr>
          <w:rFonts w:hint="eastAsia" w:cs="仿宋_GB2312"/>
          <w:color w:val="auto"/>
          <w:kern w:val="0"/>
          <w:sz w:val="24"/>
          <w:highlight w:val="none"/>
        </w:rPr>
        <w:t>分至2025年</w:t>
      </w:r>
      <w:r>
        <w:rPr>
          <w:rFonts w:hint="eastAsia" w:cs="仿宋_GB2312"/>
          <w:color w:val="auto"/>
          <w:kern w:val="0"/>
          <w:sz w:val="24"/>
          <w:highlight w:val="none"/>
          <w:u w:val="single"/>
          <w:lang w:val="en-US" w:eastAsia="zh-CN"/>
        </w:rPr>
        <w:t>5</w:t>
      </w:r>
      <w:r>
        <w:rPr>
          <w:rFonts w:hint="eastAsia" w:cs="仿宋_GB2312"/>
          <w:color w:val="auto"/>
          <w:kern w:val="0"/>
          <w:sz w:val="24"/>
          <w:highlight w:val="none"/>
        </w:rPr>
        <w:t>月</w:t>
      </w:r>
      <w:r>
        <w:rPr>
          <w:rFonts w:hint="eastAsia" w:cs="仿宋_GB2312"/>
          <w:color w:val="auto"/>
          <w:kern w:val="0"/>
          <w:sz w:val="24"/>
          <w:highlight w:val="none"/>
          <w:lang w:val="en-US" w:eastAsia="zh-CN"/>
        </w:rPr>
        <w:t>27</w:t>
      </w:r>
      <w:r>
        <w:rPr>
          <w:rFonts w:hint="eastAsia" w:cs="仿宋_GB2312"/>
          <w:color w:val="auto"/>
          <w:kern w:val="0"/>
          <w:sz w:val="24"/>
          <w:highlight w:val="none"/>
        </w:rPr>
        <w:t>日</w:t>
      </w:r>
      <w:r>
        <w:rPr>
          <w:rFonts w:hint="eastAsia" w:cs="仿宋_GB2312"/>
          <w:color w:val="auto"/>
          <w:kern w:val="0"/>
          <w:sz w:val="24"/>
          <w:highlight w:val="none"/>
          <w:u w:val="single"/>
          <w:lang w:val="en-US" w:eastAsia="zh-CN"/>
        </w:rPr>
        <w:t>17</w:t>
      </w:r>
      <w:r>
        <w:rPr>
          <w:rFonts w:hint="eastAsia" w:cs="仿宋_GB2312"/>
          <w:color w:val="auto"/>
          <w:kern w:val="0"/>
          <w:sz w:val="24"/>
          <w:highlight w:val="none"/>
        </w:rPr>
        <w:t>时</w:t>
      </w:r>
      <w:r>
        <w:rPr>
          <w:rFonts w:hint="eastAsia" w:cs="仿宋_GB2312"/>
          <w:color w:val="auto"/>
          <w:kern w:val="0"/>
          <w:sz w:val="24"/>
          <w:highlight w:val="none"/>
          <w:u w:val="single"/>
          <w:lang w:val="en-US" w:eastAsia="zh-CN"/>
        </w:rPr>
        <w:t>00</w:t>
      </w:r>
      <w:r>
        <w:rPr>
          <w:rFonts w:hint="eastAsia" w:cs="仿宋_GB2312"/>
          <w:color w:val="auto"/>
          <w:kern w:val="0"/>
          <w:sz w:val="24"/>
          <w:highlight w:val="none"/>
        </w:rPr>
        <w:t>分（北京时间）：</w:t>
      </w:r>
    </w:p>
    <w:p w14:paraId="671158D4">
      <w:pPr>
        <w:widowControl/>
        <w:topLinePunct/>
        <w:adjustRightInd w:val="0"/>
        <w:snapToGrid w:val="0"/>
        <w:spacing w:line="440" w:lineRule="exact"/>
        <w:ind w:firstLine="443"/>
        <w:rPr>
          <w:rFonts w:cs="仿宋_GB2312"/>
          <w:b/>
          <w:bCs/>
          <w:color w:val="auto"/>
          <w:kern w:val="0"/>
          <w:sz w:val="24"/>
          <w:highlight w:val="none"/>
        </w:rPr>
      </w:pPr>
      <w:r>
        <w:rPr>
          <w:rFonts w:hint="eastAsia" w:cs="仿宋_GB2312"/>
          <w:b/>
          <w:bCs/>
          <w:color w:val="auto"/>
          <w:kern w:val="0"/>
          <w:sz w:val="24"/>
          <w:highlight w:val="none"/>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1F899908">
      <w:pPr>
        <w:widowControl/>
        <w:topLinePunct/>
        <w:adjustRightInd w:val="0"/>
        <w:snapToGrid w:val="0"/>
        <w:spacing w:line="440" w:lineRule="exact"/>
        <w:ind w:firstLine="443"/>
        <w:rPr>
          <w:rFonts w:cs="仿宋_GB2312"/>
          <w:b/>
          <w:bCs/>
          <w:color w:val="auto"/>
          <w:kern w:val="0"/>
          <w:sz w:val="24"/>
          <w:highlight w:val="none"/>
        </w:rPr>
      </w:pPr>
      <w:r>
        <w:rPr>
          <w:rFonts w:hint="eastAsia" w:cs="仿宋_GB2312"/>
          <w:b/>
          <w:bCs/>
          <w:color w:val="auto"/>
          <w:kern w:val="0"/>
          <w:sz w:val="24"/>
          <w:highlight w:val="none"/>
        </w:rPr>
        <w:t>11、招标文件</w:t>
      </w:r>
      <w:r>
        <w:rPr>
          <w:rFonts w:hint="eastAsia" w:cs="仿宋_GB2312"/>
          <w:b/>
          <w:bCs/>
          <w:color w:val="auto"/>
          <w:kern w:val="0"/>
          <w:sz w:val="24"/>
          <w:highlight w:val="none"/>
          <w:lang w:val="en-US" w:eastAsia="zh-CN"/>
        </w:rPr>
        <w:t>的</w:t>
      </w:r>
      <w:r>
        <w:rPr>
          <w:rFonts w:hint="eastAsia" w:cs="仿宋_GB2312"/>
          <w:b/>
          <w:bCs/>
          <w:color w:val="auto"/>
          <w:kern w:val="0"/>
          <w:sz w:val="24"/>
          <w:highlight w:val="none"/>
        </w:rPr>
        <w:t>获取：</w:t>
      </w:r>
    </w:p>
    <w:p w14:paraId="7CC07D7A">
      <w:pPr>
        <w:widowControl/>
        <w:topLinePunct/>
        <w:adjustRightInd w:val="0"/>
        <w:snapToGrid w:val="0"/>
        <w:spacing w:line="440" w:lineRule="exact"/>
        <w:ind w:firstLine="480" w:firstLineChars="200"/>
        <w:rPr>
          <w:rFonts w:cs="仿宋_GB2312"/>
          <w:color w:val="auto"/>
          <w:sz w:val="24"/>
          <w:highlight w:val="none"/>
        </w:rPr>
      </w:pPr>
      <w:r>
        <w:rPr>
          <w:rFonts w:hint="eastAsia" w:cs="仿宋_GB2312"/>
          <w:color w:val="auto"/>
          <w:sz w:val="24"/>
          <w:highlight w:val="none"/>
        </w:rPr>
        <w:t>（1）获取方式：本项目招标文件（含招标补充文件（若有）、相关技术资料和图纸（若有））以</w:t>
      </w:r>
      <w:r>
        <w:rPr>
          <w:rFonts w:hint="eastAsia" w:cs="仿宋_GB2312"/>
          <w:color w:val="auto"/>
          <w:sz w:val="24"/>
          <w:highlight w:val="none"/>
        </w:rPr>
        <w:sym w:font="Wingdings 2" w:char="0052"/>
      </w:r>
      <w:r>
        <w:rPr>
          <w:rFonts w:hint="eastAsia" w:cs="仿宋_GB2312"/>
          <w:color w:val="auto"/>
          <w:sz w:val="24"/>
          <w:highlight w:val="none"/>
        </w:rPr>
        <w:t>网上下载方式（下载网址：杭州城投采购平台（投标人在网站公告页查看公告附件信息，包含招标文件，招标文件需登录后进行下载））获取：</w:t>
      </w:r>
    </w:p>
    <w:p w14:paraId="7F9AACA6">
      <w:pPr>
        <w:widowControl/>
        <w:topLinePunct/>
        <w:adjustRightInd w:val="0"/>
        <w:snapToGrid w:val="0"/>
        <w:spacing w:line="440" w:lineRule="exact"/>
        <w:ind w:firstLine="480" w:firstLineChars="200"/>
        <w:rPr>
          <w:rFonts w:cs="仿宋_GB2312"/>
          <w:color w:val="auto"/>
          <w:sz w:val="24"/>
          <w:highlight w:val="none"/>
        </w:rPr>
      </w:pPr>
      <w:r>
        <w:rPr>
          <w:rFonts w:hint="eastAsia" w:cs="仿宋_GB2312"/>
          <w:color w:val="auto"/>
          <w:sz w:val="24"/>
          <w:highlight w:val="none"/>
        </w:rPr>
        <w:t>（2）获取</w:t>
      </w:r>
      <w:r>
        <w:rPr>
          <w:rFonts w:hint="eastAsia" w:cs="仿宋_GB2312"/>
          <w:color w:val="auto"/>
          <w:sz w:val="24"/>
          <w:highlight w:val="none"/>
          <w:lang w:val="zh-CN"/>
        </w:rPr>
        <w:t>时间：</w:t>
      </w:r>
      <w:r>
        <w:rPr>
          <w:rFonts w:hint="eastAsia" w:cs="仿宋_GB2312"/>
          <w:b/>
          <w:bCs/>
          <w:color w:val="auto"/>
          <w:sz w:val="24"/>
          <w:highlight w:val="none"/>
        </w:rPr>
        <w:t>自本项目招标公告发布之日起至</w:t>
      </w:r>
      <w:r>
        <w:rPr>
          <w:rFonts w:hint="eastAsia" w:cs="仿宋_GB2312"/>
          <w:b/>
          <w:bCs/>
          <w:color w:val="auto"/>
          <w:sz w:val="24"/>
          <w:highlight w:val="none"/>
          <w:u w:val="single"/>
        </w:rPr>
        <w:t xml:space="preserve"> </w:t>
      </w:r>
      <w:r>
        <w:rPr>
          <w:rFonts w:hint="eastAsia" w:cs="仿宋_GB2312"/>
          <w:b/>
          <w:bCs/>
          <w:color w:val="auto"/>
          <w:sz w:val="24"/>
          <w:highlight w:val="none"/>
          <w:u w:val="single"/>
          <w:lang w:val="zh-CN"/>
        </w:rPr>
        <w:t>报名截止</w:t>
      </w:r>
      <w:r>
        <w:rPr>
          <w:rFonts w:hint="eastAsia" w:cs="仿宋_GB2312"/>
          <w:b/>
          <w:bCs/>
          <w:color w:val="auto"/>
          <w:sz w:val="24"/>
          <w:highlight w:val="none"/>
          <w:u w:val="single"/>
        </w:rPr>
        <w:t xml:space="preserve">时间 </w:t>
      </w:r>
      <w:r>
        <w:rPr>
          <w:rFonts w:hint="eastAsia" w:cs="仿宋_GB2312"/>
          <w:b/>
          <w:bCs/>
          <w:color w:val="auto"/>
          <w:sz w:val="24"/>
          <w:highlight w:val="none"/>
        </w:rPr>
        <w:t>止（投标人对招标文件提出问题截止时间：</w:t>
      </w:r>
      <w:r>
        <w:rPr>
          <w:rFonts w:hint="eastAsia" w:cs="仿宋_GB2312"/>
          <w:b/>
          <w:bCs/>
          <w:color w:val="auto"/>
          <w:sz w:val="24"/>
          <w:highlight w:val="none"/>
          <w:u w:val="single"/>
        </w:rPr>
        <w:t>_</w:t>
      </w:r>
      <w:r>
        <w:rPr>
          <w:rFonts w:hint="eastAsia" w:cs="仿宋_GB2312"/>
          <w:b/>
          <w:bCs/>
          <w:color w:val="auto"/>
          <w:sz w:val="24"/>
          <w:highlight w:val="none"/>
          <w:u w:val="single"/>
          <w:lang w:val="en-US" w:eastAsia="zh-CN"/>
        </w:rPr>
        <w:t>2025</w:t>
      </w:r>
      <w:r>
        <w:rPr>
          <w:rFonts w:hint="eastAsia" w:cs="仿宋_GB2312"/>
          <w:b/>
          <w:bCs/>
          <w:color w:val="auto"/>
          <w:sz w:val="24"/>
          <w:highlight w:val="none"/>
          <w:u w:val="single"/>
        </w:rPr>
        <w:t>_</w:t>
      </w:r>
      <w:r>
        <w:rPr>
          <w:rFonts w:hint="eastAsia" w:cs="仿宋_GB2312"/>
          <w:b/>
          <w:bCs/>
          <w:color w:val="auto"/>
          <w:sz w:val="24"/>
          <w:highlight w:val="none"/>
        </w:rPr>
        <w:t>年</w:t>
      </w:r>
      <w:r>
        <w:rPr>
          <w:rFonts w:hint="eastAsia" w:cs="仿宋_GB2312"/>
          <w:b/>
          <w:bCs/>
          <w:color w:val="auto"/>
          <w:sz w:val="24"/>
          <w:highlight w:val="none"/>
          <w:u w:val="single"/>
          <w:lang w:val="en-US" w:eastAsia="zh-CN"/>
        </w:rPr>
        <w:t>5</w:t>
      </w:r>
      <w:r>
        <w:rPr>
          <w:rFonts w:hint="eastAsia" w:cs="仿宋_GB2312"/>
          <w:b/>
          <w:bCs/>
          <w:color w:val="auto"/>
          <w:sz w:val="24"/>
          <w:highlight w:val="none"/>
        </w:rPr>
        <w:t>月</w:t>
      </w:r>
      <w:r>
        <w:rPr>
          <w:rFonts w:hint="eastAsia" w:cs="仿宋_GB2312"/>
          <w:b/>
          <w:bCs/>
          <w:color w:val="auto"/>
          <w:sz w:val="24"/>
          <w:highlight w:val="none"/>
          <w:u w:val="single"/>
          <w:lang w:val="en-US" w:eastAsia="zh-CN"/>
        </w:rPr>
        <w:t>17</w:t>
      </w:r>
      <w:r>
        <w:rPr>
          <w:rFonts w:hint="eastAsia" w:cs="仿宋_GB2312"/>
          <w:b/>
          <w:bCs/>
          <w:color w:val="auto"/>
          <w:sz w:val="24"/>
          <w:highlight w:val="none"/>
        </w:rPr>
        <w:t>日）；</w:t>
      </w:r>
    </w:p>
    <w:p w14:paraId="6BDE5BE8">
      <w:pPr>
        <w:adjustRightInd w:val="0"/>
        <w:snapToGrid w:val="0"/>
        <w:spacing w:line="440" w:lineRule="exact"/>
        <w:ind w:firstLine="482" w:firstLineChars="200"/>
        <w:rPr>
          <w:rFonts w:cs="仿宋_GB2312"/>
          <w:b/>
          <w:color w:val="auto"/>
          <w:sz w:val="24"/>
          <w:highlight w:val="none"/>
        </w:rPr>
      </w:pPr>
      <w:r>
        <w:rPr>
          <w:rFonts w:hint="eastAsia" w:cs="仿宋_GB2312"/>
          <w:b/>
          <w:color w:val="auto"/>
          <w:sz w:val="24"/>
          <w:highlight w:val="none"/>
        </w:rPr>
        <w:t>12、投标保证金</w:t>
      </w:r>
    </w:p>
    <w:p w14:paraId="4C78BA02">
      <w:pPr>
        <w:adjustRightInd w:val="0"/>
        <w:snapToGrid w:val="0"/>
        <w:spacing w:line="440" w:lineRule="exact"/>
        <w:ind w:firstLine="480" w:firstLineChars="200"/>
        <w:rPr>
          <w:rFonts w:cs="仿宋_GB2312"/>
          <w:color w:val="auto"/>
          <w:sz w:val="24"/>
          <w:highlight w:val="none"/>
        </w:rPr>
      </w:pPr>
      <w:r>
        <w:rPr>
          <w:rFonts w:hint="eastAsia" w:cs="仿宋_GB2312"/>
          <w:color w:val="auto"/>
          <w:sz w:val="24"/>
          <w:highlight w:val="none"/>
        </w:rPr>
        <w:t xml:space="preserve">本项目 </w:t>
      </w:r>
      <w:r>
        <w:rPr>
          <w:rFonts w:hint="eastAsia" w:cs="仿宋_GB2312"/>
          <w:color w:val="auto"/>
          <w:sz w:val="24"/>
          <w:highlight w:val="none"/>
          <w:u w:val="single"/>
        </w:rPr>
        <w:t xml:space="preserve">  </w:t>
      </w:r>
      <w:r>
        <w:rPr>
          <w:rFonts w:hint="eastAsia" w:cs="仿宋_GB2312"/>
          <w:b/>
          <w:bCs/>
          <w:color w:val="auto"/>
          <w:sz w:val="24"/>
          <w:highlight w:val="none"/>
          <w:u w:val="single"/>
        </w:rPr>
        <w:t>需要</w:t>
      </w:r>
      <w:r>
        <w:rPr>
          <w:rFonts w:hint="eastAsia" w:cs="仿宋_GB2312"/>
          <w:color w:val="auto"/>
          <w:sz w:val="24"/>
          <w:highlight w:val="none"/>
          <w:u w:val="single"/>
        </w:rPr>
        <w:t xml:space="preserve">  缴纳</w:t>
      </w:r>
      <w:r>
        <w:rPr>
          <w:rFonts w:hint="eastAsia" w:cs="仿宋_GB2312"/>
          <w:color w:val="auto"/>
          <w:sz w:val="24"/>
          <w:highlight w:val="none"/>
        </w:rPr>
        <w:t>投标保证金。交纳投标保证金的具体要求如下：</w:t>
      </w:r>
    </w:p>
    <w:p w14:paraId="4E84B9C4">
      <w:pPr>
        <w:adjustRightInd w:val="0"/>
        <w:snapToGrid w:val="0"/>
        <w:spacing w:line="440" w:lineRule="exact"/>
        <w:ind w:firstLine="480" w:firstLineChars="200"/>
        <w:rPr>
          <w:rFonts w:cs="仿宋_GB2312"/>
          <w:color w:val="auto"/>
          <w:sz w:val="24"/>
          <w:highlight w:val="none"/>
        </w:rPr>
      </w:pPr>
      <w:r>
        <w:rPr>
          <w:rFonts w:hint="eastAsia" w:cs="仿宋_GB2312"/>
          <w:color w:val="auto"/>
          <w:sz w:val="24"/>
          <w:highlight w:val="none"/>
        </w:rPr>
        <w:t>（1）交纳金额：</w:t>
      </w:r>
      <w:r>
        <w:rPr>
          <w:rFonts w:hint="eastAsia" w:cs="仿宋_GB2312"/>
          <w:color w:val="auto"/>
          <w:sz w:val="24"/>
          <w:highlight w:val="none"/>
          <w:u w:val="single"/>
        </w:rPr>
        <w:t xml:space="preserve">  15.</w:t>
      </w:r>
      <w:r>
        <w:rPr>
          <w:rFonts w:hint="eastAsia" w:cs="仿宋_GB2312"/>
          <w:color w:val="auto"/>
          <w:sz w:val="24"/>
          <w:highlight w:val="none"/>
          <w:u w:val="single"/>
          <w:lang w:val="en-US" w:eastAsia="zh-CN"/>
        </w:rPr>
        <w:t>7</w:t>
      </w:r>
      <w:r>
        <w:rPr>
          <w:rFonts w:hint="eastAsia" w:cs="仿宋_GB2312"/>
          <w:color w:val="auto"/>
          <w:sz w:val="24"/>
          <w:highlight w:val="none"/>
          <w:u w:val="single"/>
        </w:rPr>
        <w:t xml:space="preserve">  </w:t>
      </w:r>
      <w:r>
        <w:rPr>
          <w:rFonts w:hint="eastAsia" w:cs="仿宋_GB2312"/>
          <w:color w:val="auto"/>
          <w:sz w:val="24"/>
          <w:highlight w:val="none"/>
        </w:rPr>
        <w:t>万元；</w:t>
      </w:r>
    </w:p>
    <w:p w14:paraId="54D76247">
      <w:pPr>
        <w:adjustRightInd w:val="0"/>
        <w:snapToGrid w:val="0"/>
        <w:spacing w:line="440" w:lineRule="exact"/>
        <w:ind w:firstLine="480" w:firstLineChars="200"/>
        <w:rPr>
          <w:rFonts w:cs="仿宋_GB2312"/>
          <w:color w:val="auto"/>
          <w:sz w:val="24"/>
          <w:highlight w:val="none"/>
        </w:rPr>
      </w:pPr>
      <w:r>
        <w:rPr>
          <w:rFonts w:hint="eastAsia" w:cs="仿宋_GB2312"/>
          <w:color w:val="auto"/>
          <w:sz w:val="24"/>
          <w:highlight w:val="none"/>
        </w:rPr>
        <w:t xml:space="preserve">（2）交纳形式： ☑电汇 </w:t>
      </w:r>
      <w:r>
        <w:rPr>
          <w:rFonts w:hint="eastAsia" w:cs="仿宋_GB2312"/>
          <w:color w:val="auto"/>
          <w:sz w:val="24"/>
          <w:highlight w:val="none"/>
          <w:lang w:eastAsia="zh-CN"/>
        </w:rPr>
        <w:t>☑</w:t>
      </w:r>
      <w:r>
        <w:rPr>
          <w:rFonts w:hint="eastAsia" w:cs="仿宋_GB2312"/>
          <w:color w:val="auto"/>
          <w:sz w:val="24"/>
          <w:highlight w:val="none"/>
          <w:lang w:val="en-US" w:eastAsia="zh-CN"/>
        </w:rPr>
        <w:t>转账</w:t>
      </w:r>
      <w:r>
        <w:rPr>
          <w:rFonts w:hint="eastAsia" w:cs="仿宋_GB2312"/>
          <w:color w:val="auto"/>
          <w:sz w:val="24"/>
          <w:highlight w:val="none"/>
        </w:rPr>
        <w:t>（注：必须为投标企业账户汇出，个人形式递交或现金递交视为未交纳）</w:t>
      </w:r>
    </w:p>
    <w:p w14:paraId="65E221F8">
      <w:pPr>
        <w:adjustRightInd w:val="0"/>
        <w:snapToGrid w:val="0"/>
        <w:spacing w:line="440" w:lineRule="exact"/>
        <w:ind w:firstLine="480" w:firstLineChars="200"/>
        <w:rPr>
          <w:rFonts w:cs="仿宋_GB2312"/>
          <w:color w:val="auto"/>
          <w:sz w:val="24"/>
          <w:highlight w:val="none"/>
          <w:u w:val="single"/>
        </w:rPr>
      </w:pPr>
      <w:r>
        <w:rPr>
          <w:rFonts w:hint="eastAsia" w:cs="仿宋_GB2312"/>
          <w:color w:val="auto"/>
          <w:sz w:val="24"/>
          <w:highlight w:val="none"/>
        </w:rPr>
        <w:t>（3）交纳账户：开户银行：</w:t>
      </w:r>
      <w:r>
        <w:rPr>
          <w:rFonts w:hint="eastAsia" w:cs="仿宋_GB2312"/>
          <w:color w:val="auto"/>
          <w:sz w:val="24"/>
          <w:highlight w:val="none"/>
          <w:u w:val="single"/>
        </w:rPr>
        <w:t>宁波银行杭州分行，</w:t>
      </w:r>
      <w:r>
        <w:rPr>
          <w:rFonts w:hint="eastAsia" w:cs="仿宋_GB2312"/>
          <w:color w:val="auto"/>
          <w:sz w:val="24"/>
          <w:highlight w:val="none"/>
        </w:rPr>
        <w:t>收款单位（户名）</w:t>
      </w:r>
      <w:r>
        <w:rPr>
          <w:rFonts w:hint="eastAsia" w:cs="仿宋_GB2312"/>
          <w:color w:val="auto"/>
          <w:sz w:val="24"/>
          <w:highlight w:val="none"/>
          <w:u w:val="single"/>
        </w:rPr>
        <w:t>：杭州市能源集团有限公司，</w:t>
      </w:r>
      <w:r>
        <w:rPr>
          <w:rFonts w:hint="eastAsia" w:cs="仿宋_GB2312"/>
          <w:color w:val="auto"/>
          <w:sz w:val="24"/>
          <w:highlight w:val="none"/>
        </w:rPr>
        <w:t>账号：</w:t>
      </w:r>
      <w:r>
        <w:rPr>
          <w:rFonts w:hint="eastAsia" w:cs="仿宋_GB2312"/>
          <w:color w:val="auto"/>
          <w:sz w:val="24"/>
          <w:highlight w:val="none"/>
          <w:u w:val="single"/>
        </w:rPr>
        <w:t>86041110000078615；</w:t>
      </w:r>
    </w:p>
    <w:p w14:paraId="2F3E21AE">
      <w:pPr>
        <w:adjustRightInd w:val="0"/>
        <w:snapToGrid w:val="0"/>
        <w:spacing w:line="440" w:lineRule="exact"/>
        <w:ind w:firstLine="480" w:firstLineChars="200"/>
        <w:rPr>
          <w:rFonts w:cs="仿宋_GB2312"/>
          <w:color w:val="auto"/>
          <w:sz w:val="24"/>
          <w:highlight w:val="none"/>
        </w:rPr>
      </w:pPr>
      <w:r>
        <w:rPr>
          <w:rFonts w:hint="eastAsia" w:cs="仿宋_GB2312"/>
          <w:color w:val="auto"/>
          <w:sz w:val="24"/>
          <w:highlight w:val="none"/>
        </w:rPr>
        <w:t>（4）交纳期限：投标截止时间前。</w:t>
      </w:r>
    </w:p>
    <w:p w14:paraId="7D9EC9FA">
      <w:pPr>
        <w:adjustRightInd w:val="0"/>
        <w:snapToGrid w:val="0"/>
        <w:spacing w:line="440" w:lineRule="exact"/>
        <w:ind w:firstLine="482" w:firstLineChars="200"/>
        <w:rPr>
          <w:rFonts w:cs="仿宋_GB2312"/>
          <w:b/>
          <w:color w:val="auto"/>
          <w:sz w:val="24"/>
          <w:highlight w:val="none"/>
        </w:rPr>
      </w:pPr>
      <w:r>
        <w:rPr>
          <w:rFonts w:hint="eastAsia" w:cs="仿宋_GB2312"/>
          <w:b/>
          <w:color w:val="auto"/>
          <w:sz w:val="24"/>
          <w:highlight w:val="none"/>
        </w:rPr>
        <w:t>13、投标文件的递交</w:t>
      </w:r>
    </w:p>
    <w:p w14:paraId="4FB77DBF">
      <w:pPr>
        <w:adjustRightInd w:val="0"/>
        <w:snapToGrid w:val="0"/>
        <w:spacing w:line="440" w:lineRule="exact"/>
        <w:ind w:firstLine="480" w:firstLineChars="200"/>
        <w:rPr>
          <w:rFonts w:cs="仿宋_GB2312"/>
          <w:color w:val="auto"/>
          <w:sz w:val="24"/>
          <w:highlight w:val="none"/>
        </w:rPr>
      </w:pPr>
      <w:r>
        <w:rPr>
          <w:rFonts w:hint="eastAsia" w:cs="仿宋_GB2312"/>
          <w:color w:val="auto"/>
          <w:sz w:val="24"/>
          <w:highlight w:val="none"/>
        </w:rPr>
        <w:t xml:space="preserve">（1）投标文件递交截止时间（同投标截止时间）： </w:t>
      </w:r>
      <w:r>
        <w:rPr>
          <w:rFonts w:hint="eastAsia" w:cs="仿宋_GB2312"/>
          <w:color w:val="auto"/>
          <w:sz w:val="24"/>
          <w:highlight w:val="none"/>
          <w:lang w:val="en-US" w:eastAsia="zh-CN"/>
        </w:rPr>
        <w:t>2025</w:t>
      </w:r>
      <w:r>
        <w:rPr>
          <w:rFonts w:hint="eastAsia" w:cs="仿宋_GB2312"/>
          <w:color w:val="auto"/>
          <w:sz w:val="24"/>
          <w:highlight w:val="none"/>
        </w:rPr>
        <w:t>年</w:t>
      </w:r>
      <w:r>
        <w:rPr>
          <w:rFonts w:hint="eastAsia" w:cs="仿宋_GB2312"/>
          <w:color w:val="auto"/>
          <w:sz w:val="24"/>
          <w:highlight w:val="none"/>
          <w:lang w:val="en-US" w:eastAsia="zh-CN"/>
        </w:rPr>
        <w:t>5</w:t>
      </w:r>
      <w:r>
        <w:rPr>
          <w:rFonts w:hint="eastAsia" w:cs="仿宋_GB2312"/>
          <w:color w:val="auto"/>
          <w:sz w:val="24"/>
          <w:highlight w:val="none"/>
        </w:rPr>
        <w:t>月</w:t>
      </w:r>
      <w:r>
        <w:rPr>
          <w:rFonts w:hint="eastAsia" w:cs="仿宋_GB2312"/>
          <w:color w:val="auto"/>
          <w:sz w:val="24"/>
          <w:highlight w:val="none"/>
          <w:lang w:val="en-US" w:eastAsia="zh-CN"/>
        </w:rPr>
        <w:t>28</w:t>
      </w:r>
      <w:r>
        <w:rPr>
          <w:rFonts w:hint="eastAsia" w:cs="仿宋_GB2312"/>
          <w:color w:val="auto"/>
          <w:sz w:val="24"/>
          <w:highlight w:val="none"/>
        </w:rPr>
        <w:t>日</w:t>
      </w:r>
      <w:r>
        <w:rPr>
          <w:rFonts w:hint="eastAsia" w:cs="仿宋_GB2312"/>
          <w:color w:val="auto"/>
          <w:sz w:val="24"/>
          <w:highlight w:val="none"/>
          <w:lang w:val="en-US" w:eastAsia="zh-CN"/>
        </w:rPr>
        <w:t>10</w:t>
      </w:r>
      <w:r>
        <w:rPr>
          <w:rFonts w:hint="eastAsia" w:cs="仿宋_GB2312"/>
          <w:color w:val="auto"/>
          <w:sz w:val="24"/>
          <w:highlight w:val="none"/>
        </w:rPr>
        <w:t>时</w:t>
      </w:r>
      <w:r>
        <w:rPr>
          <w:rFonts w:hint="eastAsia" w:cs="仿宋_GB2312"/>
          <w:color w:val="auto"/>
          <w:sz w:val="24"/>
          <w:highlight w:val="none"/>
          <w:lang w:val="en-US" w:eastAsia="zh-CN"/>
        </w:rPr>
        <w:t>00</w:t>
      </w:r>
      <w:r>
        <w:rPr>
          <w:rFonts w:hint="eastAsia" w:cs="仿宋_GB2312"/>
          <w:color w:val="auto"/>
          <w:sz w:val="24"/>
          <w:highlight w:val="none"/>
        </w:rPr>
        <w:t>分00秒（北京时间）</w:t>
      </w:r>
    </w:p>
    <w:p w14:paraId="4D5FE107">
      <w:pPr>
        <w:adjustRightInd w:val="0"/>
        <w:snapToGrid w:val="0"/>
        <w:spacing w:line="440" w:lineRule="exact"/>
        <w:ind w:firstLine="480" w:firstLineChars="200"/>
        <w:rPr>
          <w:rFonts w:cs="仿宋_GB2312"/>
          <w:color w:val="auto"/>
          <w:sz w:val="24"/>
          <w:highlight w:val="none"/>
          <w:u w:val="single"/>
        </w:rPr>
      </w:pPr>
      <w:r>
        <w:rPr>
          <w:rFonts w:hint="eastAsia" w:cs="仿宋_GB2312"/>
          <w:color w:val="auto"/>
          <w:sz w:val="24"/>
          <w:highlight w:val="none"/>
        </w:rPr>
        <w:t>（2）投标文件递交方式：</w:t>
      </w:r>
      <w:r>
        <w:rPr>
          <w:rFonts w:hint="eastAsia" w:cs="仿宋_GB2312"/>
          <w:b/>
          <w:bCs/>
          <w:color w:val="auto"/>
          <w:sz w:val="24"/>
          <w:highlight w:val="none"/>
        </w:rPr>
        <w:t>☑线下递交：本项目只接受现场递交的方式，邮寄递交一律拒绝接收、不予受理。逾期送达的、未送达指定地点的或者不按照招标文件要求密封的投标文件，招标人将予以拒收，</w:t>
      </w:r>
      <w:r>
        <w:rPr>
          <w:rFonts w:hint="eastAsia" w:cs="仿宋_GB2312"/>
          <w:color w:val="auto"/>
          <w:sz w:val="24"/>
          <w:highlight w:val="none"/>
        </w:rPr>
        <w:t>投标文件递交地点：</w:t>
      </w:r>
      <w:r>
        <w:rPr>
          <w:rFonts w:hint="eastAsia" w:cs="仿宋_GB2312"/>
          <w:color w:val="auto"/>
          <w:sz w:val="24"/>
          <w:highlight w:val="none"/>
          <w:u w:val="single"/>
        </w:rPr>
        <w:t>杭州市上城区雷霆路90号3楼321 开标室（6）开标室</w:t>
      </w:r>
      <w:r>
        <w:rPr>
          <w:rFonts w:hint="eastAsia" w:cs="仿宋_GB2312"/>
          <w:color w:val="auto"/>
          <w:sz w:val="24"/>
          <w:highlight w:val="none"/>
        </w:rPr>
        <w:t>。</w:t>
      </w:r>
    </w:p>
    <w:p w14:paraId="72489ECF">
      <w:pPr>
        <w:adjustRightInd w:val="0"/>
        <w:snapToGrid w:val="0"/>
        <w:spacing w:line="440" w:lineRule="exact"/>
        <w:ind w:firstLine="482" w:firstLineChars="200"/>
        <w:rPr>
          <w:rFonts w:cs="仿宋_GB2312"/>
          <w:b/>
          <w:color w:val="auto"/>
          <w:sz w:val="24"/>
          <w:highlight w:val="none"/>
        </w:rPr>
      </w:pPr>
      <w:r>
        <w:rPr>
          <w:rFonts w:hint="eastAsia" w:cs="仿宋_GB2312"/>
          <w:b/>
          <w:color w:val="auto"/>
          <w:sz w:val="24"/>
          <w:highlight w:val="none"/>
        </w:rPr>
        <w:t>14、发布公告的媒介</w:t>
      </w:r>
    </w:p>
    <w:p w14:paraId="67016029">
      <w:pPr>
        <w:adjustRightInd w:val="0"/>
        <w:snapToGrid w:val="0"/>
        <w:spacing w:line="440" w:lineRule="exact"/>
        <w:ind w:firstLine="480" w:firstLineChars="200"/>
        <w:rPr>
          <w:rFonts w:cs="仿宋_GB2312"/>
          <w:color w:val="auto"/>
          <w:sz w:val="24"/>
          <w:highlight w:val="none"/>
        </w:rPr>
      </w:pPr>
      <w:r>
        <w:rPr>
          <w:rFonts w:hint="eastAsia" w:cs="仿宋_GB2312"/>
          <w:color w:val="auto"/>
          <w:sz w:val="24"/>
          <w:highlight w:val="none"/>
        </w:rPr>
        <w:t>本项目相关公告在杭州城投采购平台（https://jczx.hzcjtz.com）、浙江政府采购网（http://zfcg.czt.zj.gov.cn/）、杭州市环境集团有限公司网站（https://www.cnlandfill.net/index.aspx）、杭州临江环境能源有限公司网站（https://www.ljhjny.com/）发布，如公告内容不一致的以杭州城投采购平台（https://jczx.hzcjtz.com）发布的信息为准。</w:t>
      </w:r>
    </w:p>
    <w:p w14:paraId="3AD2F390">
      <w:pPr>
        <w:adjustRightInd w:val="0"/>
        <w:snapToGrid w:val="0"/>
        <w:spacing w:line="440" w:lineRule="exact"/>
        <w:ind w:firstLine="482" w:firstLineChars="200"/>
        <w:rPr>
          <w:rFonts w:cs="仿宋_GB2312"/>
          <w:b/>
          <w:color w:val="auto"/>
          <w:sz w:val="24"/>
          <w:highlight w:val="none"/>
        </w:rPr>
      </w:pPr>
      <w:r>
        <w:rPr>
          <w:rFonts w:hint="eastAsia" w:cs="仿宋_GB2312"/>
          <w:b/>
          <w:color w:val="auto"/>
          <w:sz w:val="24"/>
          <w:highlight w:val="none"/>
        </w:rPr>
        <w:t>15、联系方式</w:t>
      </w:r>
    </w:p>
    <w:p w14:paraId="49D6C004">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招 标 人：杭州临江环境能源有限公司</w:t>
      </w:r>
    </w:p>
    <w:p w14:paraId="4E913816">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地    址：浙江省杭州市钱塘区临江街道红十五路10388-123号</w:t>
      </w:r>
    </w:p>
    <w:p w14:paraId="34218DA4">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联 系 人：华工</w:t>
      </w:r>
    </w:p>
    <w:p w14:paraId="0643AAC4">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电    话：0571-81997921</w:t>
      </w:r>
    </w:p>
    <w:p w14:paraId="6CFAE10A">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p>
    <w:p w14:paraId="6F98338B">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招标代理：浙江省成套招标代理有限公司</w:t>
      </w:r>
    </w:p>
    <w:p w14:paraId="3CFE3F87">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地    址：杭州市文晖路42号现代置业大厦西楼1806室</w:t>
      </w:r>
    </w:p>
    <w:p w14:paraId="00D7E468">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联 系 人：吴乾宝、汝建侠</w:t>
      </w:r>
    </w:p>
    <w:p w14:paraId="75620C65">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电    话：0571-85830195、13656681646</w:t>
      </w:r>
    </w:p>
    <w:p w14:paraId="4D827BBF">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电子邮件：wuqb@zjsct.cn</w:t>
      </w:r>
    </w:p>
    <w:p w14:paraId="5A0156A9">
      <w:pPr>
        <w:pStyle w:val="9"/>
        <w:tabs>
          <w:tab w:val="left" w:pos="4228"/>
          <w:tab w:val="left" w:pos="7990"/>
        </w:tabs>
        <w:spacing w:after="0" w:line="440" w:lineRule="exact"/>
        <w:ind w:firstLine="480" w:firstLineChars="200"/>
        <w:rPr>
          <w:rFonts w:hint="eastAsia" w:eastAsia="仿宋_GB2312" w:cs="仿宋_GB2312"/>
          <w:color w:val="auto"/>
          <w:sz w:val="24"/>
          <w:szCs w:val="24"/>
          <w:highlight w:val="none"/>
        </w:rPr>
      </w:pPr>
    </w:p>
    <w:p w14:paraId="19046C39">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监管单位：杭州临江环境能源有限公司监察审计部</w:t>
      </w:r>
      <w:r>
        <w:rPr>
          <w:rFonts w:hint="eastAsia" w:eastAsia="仿宋_GB2312" w:cs="仿宋_GB2312"/>
          <w:color w:val="auto"/>
          <w:sz w:val="24"/>
          <w:szCs w:val="24"/>
          <w:highlight w:val="none"/>
        </w:rPr>
        <w:tab/>
      </w:r>
    </w:p>
    <w:p w14:paraId="59B8929C">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地    址：浙江省杭州市钱塘区临江街道红十五路10388-123号</w:t>
      </w:r>
      <w:r>
        <w:rPr>
          <w:rFonts w:hint="eastAsia" w:eastAsia="仿宋_GB2312" w:cs="仿宋_GB2312"/>
          <w:color w:val="auto"/>
          <w:sz w:val="24"/>
          <w:szCs w:val="24"/>
          <w:highlight w:val="none"/>
        </w:rPr>
        <w:tab/>
      </w:r>
    </w:p>
    <w:p w14:paraId="18DD4497">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联 系 人：吕工</w:t>
      </w:r>
      <w:r>
        <w:rPr>
          <w:rFonts w:hint="eastAsia" w:eastAsia="仿宋_GB2312" w:cs="仿宋_GB2312"/>
          <w:color w:val="auto"/>
          <w:sz w:val="24"/>
          <w:szCs w:val="24"/>
          <w:highlight w:val="none"/>
        </w:rPr>
        <w:tab/>
      </w:r>
    </w:p>
    <w:p w14:paraId="7B9D0721">
      <w:pPr>
        <w:pStyle w:val="9"/>
        <w:tabs>
          <w:tab w:val="left" w:pos="4228"/>
          <w:tab w:val="left" w:pos="7990"/>
        </w:tabs>
        <w:spacing w:after="0" w:line="440" w:lineRule="exact"/>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电    话：0571-81997962</w:t>
      </w:r>
      <w:r>
        <w:rPr>
          <w:rFonts w:hint="eastAsia" w:eastAsia="仿宋_GB2312" w:cs="仿宋_GB2312"/>
          <w:color w:val="auto"/>
          <w:sz w:val="24"/>
          <w:szCs w:val="24"/>
          <w:highlight w:val="none"/>
        </w:rPr>
        <w:tab/>
      </w:r>
    </w:p>
    <w:p w14:paraId="5227789F">
      <w:pPr>
        <w:widowControl/>
        <w:topLinePunct/>
        <w:adjustRightInd w:val="0"/>
        <w:snapToGrid w:val="0"/>
        <w:spacing w:line="360" w:lineRule="auto"/>
        <w:jc w:val="right"/>
        <w:rPr>
          <w:rFonts w:hint="eastAsia" w:ascii="仿宋" w:hAnsi="仿宋" w:eastAsia="仿宋" w:cs="仿宋"/>
          <w:color w:val="auto"/>
          <w:spacing w:val="10"/>
          <w:sz w:val="24"/>
          <w:highlight w:val="none"/>
          <w:u w:val="single"/>
        </w:rPr>
      </w:pPr>
      <w:r>
        <w:rPr>
          <w:rFonts w:hint="eastAsia" w:ascii="仿宋" w:hAnsi="仿宋" w:eastAsia="仿宋" w:cs="仿宋"/>
          <w:color w:val="auto"/>
          <w:spacing w:val="10"/>
          <w:sz w:val="24"/>
          <w:highlight w:val="none"/>
          <w:u w:val="single"/>
        </w:rPr>
        <w:t>杭州临江环境能源有限公司</w:t>
      </w:r>
    </w:p>
    <w:p w14:paraId="4F4B3A83">
      <w:pPr>
        <w:widowControl/>
        <w:topLinePunct/>
        <w:adjustRightInd w:val="0"/>
        <w:snapToGrid w:val="0"/>
        <w:spacing w:line="440" w:lineRule="exact"/>
        <w:ind w:left="7044" w:hanging="696"/>
        <w:jc w:val="right"/>
        <w:rPr>
          <w:rFonts w:hint="eastAsia" w:ascii="宋体" w:hAnsi="宋体" w:eastAsia="宋体" w:cs="宋体"/>
          <w:color w:val="auto"/>
          <w:spacing w:val="8"/>
          <w:sz w:val="24"/>
          <w:highlight w:val="none"/>
        </w:rPr>
      </w:pPr>
      <w:r>
        <w:rPr>
          <w:rFonts w:hint="eastAsia" w:ascii="宋体" w:hAnsi="宋体" w:eastAsia="宋体" w:cs="宋体"/>
          <w:color w:val="auto"/>
          <w:spacing w:val="5"/>
          <w:sz w:val="24"/>
          <w:highlight w:val="none"/>
        </w:rPr>
        <w:t>2025年</w:t>
      </w:r>
      <w:r>
        <w:rPr>
          <w:rFonts w:hint="eastAsia" w:ascii="宋体" w:hAnsi="宋体" w:eastAsia="宋体" w:cs="宋体"/>
          <w:color w:val="auto"/>
          <w:spacing w:val="8"/>
          <w:sz w:val="24"/>
          <w:highlight w:val="none"/>
          <w:lang w:val="en-US" w:eastAsia="zh-CN"/>
        </w:rPr>
        <w:t>5</w:t>
      </w:r>
      <w:r>
        <w:rPr>
          <w:rFonts w:hint="eastAsia" w:ascii="宋体" w:hAnsi="宋体" w:eastAsia="宋体" w:cs="宋体"/>
          <w:color w:val="auto"/>
          <w:spacing w:val="8"/>
          <w:sz w:val="24"/>
          <w:highlight w:val="none"/>
        </w:rPr>
        <w:t>月</w:t>
      </w:r>
      <w:r>
        <w:rPr>
          <w:rFonts w:hint="eastAsia" w:ascii="宋体" w:hAnsi="宋体" w:eastAsia="宋体" w:cs="宋体"/>
          <w:color w:val="auto"/>
          <w:spacing w:val="8"/>
          <w:sz w:val="24"/>
          <w:highlight w:val="none"/>
          <w:lang w:val="en-US" w:eastAsia="zh-CN"/>
        </w:rPr>
        <w:t>6</w:t>
      </w:r>
      <w:r>
        <w:rPr>
          <w:rFonts w:hint="eastAsia" w:ascii="宋体" w:hAnsi="宋体" w:eastAsia="宋体" w:cs="宋体"/>
          <w:color w:val="auto"/>
          <w:spacing w:val="8"/>
          <w:sz w:val="24"/>
          <w:highlight w:val="none"/>
        </w:rPr>
        <w:t>日</w:t>
      </w:r>
    </w:p>
    <w:p w14:paraId="1CA95667">
      <w:pPr>
        <w:widowControl/>
        <w:spacing w:line="440" w:lineRule="exact"/>
        <w:jc w:val="center"/>
        <w:outlineLvl w:val="0"/>
        <w:rPr>
          <w:rFonts w:hint="eastAsia" w:eastAsia="黑体" w:cs="黑体"/>
          <w:color w:val="auto"/>
          <w:kern w:val="0"/>
          <w:szCs w:val="32"/>
          <w:highlight w:val="none"/>
        </w:rPr>
        <w:sectPr>
          <w:headerReference r:id="rId8" w:type="default"/>
          <w:footerReference r:id="rId10" w:type="default"/>
          <w:headerReference r:id="rId9" w:type="even"/>
          <w:footerReference r:id="rId11" w:type="even"/>
          <w:pgSz w:w="11906" w:h="16838"/>
          <w:pgMar w:top="1440" w:right="1080" w:bottom="1440" w:left="1080" w:header="0" w:footer="714" w:gutter="0"/>
          <w:cols w:space="720" w:num="1"/>
          <w:docGrid w:linePitch="286" w:charSpace="0"/>
        </w:sectPr>
      </w:pPr>
    </w:p>
    <w:p w14:paraId="141089C3">
      <w:pPr>
        <w:widowControl/>
        <w:spacing w:line="440" w:lineRule="exact"/>
        <w:jc w:val="center"/>
        <w:outlineLvl w:val="0"/>
        <w:rPr>
          <w:rFonts w:cs="宋体"/>
          <w:b/>
          <w:bCs/>
          <w:color w:val="auto"/>
          <w:kern w:val="0"/>
          <w:szCs w:val="32"/>
          <w:highlight w:val="none"/>
        </w:rPr>
      </w:pPr>
      <w:bookmarkStart w:id="4" w:name="_Toc5948"/>
      <w:r>
        <w:rPr>
          <w:rFonts w:hint="eastAsia" w:eastAsia="黑体" w:cs="黑体"/>
          <w:color w:val="auto"/>
          <w:kern w:val="0"/>
          <w:szCs w:val="32"/>
          <w:highlight w:val="none"/>
        </w:rPr>
        <w:t>第二章 投标人须知</w:t>
      </w:r>
      <w:bookmarkEnd w:id="4"/>
    </w:p>
    <w:p w14:paraId="5981ACF8">
      <w:pPr>
        <w:widowControl/>
        <w:spacing w:line="440" w:lineRule="exact"/>
        <w:ind w:firstLine="3373" w:firstLineChars="1400"/>
        <w:outlineLvl w:val="1"/>
        <w:rPr>
          <w:rFonts w:cs="仿宋_GB2312"/>
          <w:b/>
          <w:color w:val="auto"/>
          <w:sz w:val="24"/>
          <w:highlight w:val="none"/>
        </w:rPr>
      </w:pPr>
      <w:bookmarkStart w:id="5" w:name="_Toc1844"/>
      <w:r>
        <w:rPr>
          <w:rFonts w:hint="eastAsia" w:cs="仿宋_GB2312"/>
          <w:b/>
          <w:bCs/>
          <w:color w:val="auto"/>
          <w:kern w:val="0"/>
          <w:sz w:val="24"/>
          <w:highlight w:val="none"/>
        </w:rPr>
        <w:t>投标人须知</w:t>
      </w:r>
      <w:r>
        <w:rPr>
          <w:rFonts w:hint="eastAsia" w:cs="仿宋_GB2312"/>
          <w:b/>
          <w:color w:val="auto"/>
          <w:sz w:val="24"/>
          <w:highlight w:val="none"/>
        </w:rPr>
        <w:t>前附表</w:t>
      </w:r>
      <w:bookmarkEnd w:id="5"/>
    </w:p>
    <w:tbl>
      <w:tblPr>
        <w:tblStyle w:val="26"/>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4BBCD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14:paraId="5ED58999">
            <w:pPr>
              <w:autoSpaceDE w:val="0"/>
              <w:autoSpaceDN w:val="0"/>
              <w:adjustRightInd w:val="0"/>
              <w:snapToGrid w:val="0"/>
              <w:spacing w:line="400" w:lineRule="exact"/>
              <w:jc w:val="center"/>
              <w:rPr>
                <w:rFonts w:hint="eastAsia" w:ascii="仿宋_GB2312" w:hAnsi="仿宋_GB2312" w:cs="仿宋_GB2312"/>
                <w:b/>
                <w:snapToGrid w:val="0"/>
                <w:color w:val="auto"/>
                <w:kern w:val="0"/>
                <w:sz w:val="21"/>
                <w:szCs w:val="21"/>
                <w:highlight w:val="none"/>
              </w:rPr>
            </w:pPr>
            <w:r>
              <w:rPr>
                <w:rFonts w:hint="eastAsia" w:ascii="仿宋_GB2312" w:hAnsi="仿宋_GB2312" w:cs="仿宋_GB2312"/>
                <w:b/>
                <w:snapToGrid w:val="0"/>
                <w:color w:val="auto"/>
                <w:kern w:val="0"/>
                <w:sz w:val="21"/>
                <w:szCs w:val="21"/>
                <w:highlight w:val="none"/>
              </w:rPr>
              <w:t>条款号</w:t>
            </w:r>
          </w:p>
        </w:tc>
        <w:tc>
          <w:tcPr>
            <w:tcW w:w="1911" w:type="dxa"/>
            <w:tcBorders>
              <w:top w:val="single" w:color="auto" w:sz="12" w:space="0"/>
            </w:tcBorders>
            <w:vAlign w:val="center"/>
          </w:tcPr>
          <w:p w14:paraId="410C94D0">
            <w:pPr>
              <w:autoSpaceDE w:val="0"/>
              <w:autoSpaceDN w:val="0"/>
              <w:adjustRightInd w:val="0"/>
              <w:snapToGrid w:val="0"/>
              <w:spacing w:line="400" w:lineRule="exact"/>
              <w:jc w:val="center"/>
              <w:rPr>
                <w:rFonts w:hint="eastAsia" w:ascii="仿宋_GB2312" w:hAnsi="仿宋_GB2312" w:cs="仿宋_GB2312"/>
                <w:b/>
                <w:snapToGrid w:val="0"/>
                <w:color w:val="auto"/>
                <w:kern w:val="0"/>
                <w:sz w:val="21"/>
                <w:szCs w:val="21"/>
                <w:highlight w:val="none"/>
              </w:rPr>
            </w:pPr>
            <w:r>
              <w:rPr>
                <w:rFonts w:hint="eastAsia" w:ascii="仿宋_GB2312" w:hAnsi="仿宋_GB2312" w:cs="仿宋_GB2312"/>
                <w:b/>
                <w:snapToGrid w:val="0"/>
                <w:color w:val="auto"/>
                <w:kern w:val="0"/>
                <w:sz w:val="21"/>
                <w:szCs w:val="21"/>
                <w:highlight w:val="none"/>
              </w:rPr>
              <w:t>条 款 名 称</w:t>
            </w:r>
          </w:p>
        </w:tc>
        <w:tc>
          <w:tcPr>
            <w:tcW w:w="6255" w:type="dxa"/>
            <w:tcBorders>
              <w:top w:val="single" w:color="auto" w:sz="12" w:space="0"/>
            </w:tcBorders>
            <w:vAlign w:val="center"/>
          </w:tcPr>
          <w:p w14:paraId="1AB5CE6D">
            <w:pPr>
              <w:autoSpaceDE w:val="0"/>
              <w:autoSpaceDN w:val="0"/>
              <w:adjustRightInd w:val="0"/>
              <w:snapToGrid w:val="0"/>
              <w:spacing w:line="400" w:lineRule="exact"/>
              <w:jc w:val="center"/>
              <w:rPr>
                <w:rFonts w:hint="eastAsia" w:ascii="仿宋_GB2312" w:hAnsi="仿宋_GB2312" w:cs="仿宋_GB2312"/>
                <w:b/>
                <w:snapToGrid w:val="0"/>
                <w:color w:val="auto"/>
                <w:kern w:val="0"/>
                <w:sz w:val="21"/>
                <w:szCs w:val="21"/>
                <w:highlight w:val="none"/>
              </w:rPr>
            </w:pPr>
            <w:r>
              <w:rPr>
                <w:rFonts w:hint="eastAsia" w:ascii="仿宋_GB2312" w:hAnsi="仿宋_GB2312" w:cs="仿宋_GB2312"/>
                <w:b/>
                <w:snapToGrid w:val="0"/>
                <w:color w:val="auto"/>
                <w:kern w:val="0"/>
                <w:sz w:val="21"/>
                <w:szCs w:val="21"/>
                <w:highlight w:val="none"/>
              </w:rPr>
              <w:t>编 列 内 容</w:t>
            </w:r>
          </w:p>
        </w:tc>
      </w:tr>
      <w:tr w14:paraId="15549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787706C">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1.1.2</w:t>
            </w:r>
          </w:p>
        </w:tc>
        <w:tc>
          <w:tcPr>
            <w:tcW w:w="1911" w:type="dxa"/>
            <w:vAlign w:val="center"/>
          </w:tcPr>
          <w:p w14:paraId="11F0A033">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招标组织形式</w:t>
            </w:r>
          </w:p>
        </w:tc>
        <w:tc>
          <w:tcPr>
            <w:tcW w:w="6255" w:type="dxa"/>
            <w:vAlign w:val="center"/>
          </w:tcPr>
          <w:p w14:paraId="573E8A82">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color w:val="auto"/>
                <w:sz w:val="21"/>
                <w:szCs w:val="21"/>
                <w:highlight w:val="none"/>
                <w:lang w:val="zh-CN" w:eastAsia="zh-CN"/>
              </w:rPr>
              <w:t>本项目采用</w:t>
            </w:r>
            <w:r>
              <w:rPr>
                <w:rFonts w:hint="eastAsia" w:ascii="仿宋_GB2312" w:hAnsi="仿宋_GB2312" w:eastAsia="仿宋_GB2312" w:cs="仿宋_GB2312"/>
                <w:color w:val="auto"/>
                <w:kern w:val="2"/>
                <w:sz w:val="21"/>
                <w:szCs w:val="21"/>
                <w:highlight w:val="none"/>
                <w:lang w:eastAsia="zh-CN"/>
              </w:rPr>
              <w:t xml:space="preserve"> </w:t>
            </w:r>
            <w:r>
              <w:rPr>
                <w:rFonts w:hint="eastAsia" w:ascii="仿宋_GB2312" w:hAnsi="仿宋_GB2312" w:eastAsia="仿宋_GB2312" w:cs="仿宋_GB2312"/>
                <w:snapToGrid w:val="0"/>
                <w:color w:val="auto"/>
                <w:sz w:val="21"/>
                <w:szCs w:val="21"/>
                <w:highlight w:val="none"/>
                <w:lang w:eastAsia="zh-CN"/>
              </w:rPr>
              <w:sym w:font="Wingdings 2" w:char="0052"/>
            </w:r>
            <w:r>
              <w:rPr>
                <w:rFonts w:hint="eastAsia" w:ascii="仿宋_GB2312" w:hAnsi="仿宋_GB2312" w:eastAsia="仿宋_GB2312" w:cs="仿宋_GB2312"/>
                <w:snapToGrid w:val="0"/>
                <w:color w:val="auto"/>
                <w:sz w:val="21"/>
                <w:szCs w:val="21"/>
                <w:highlight w:val="none"/>
                <w:lang w:eastAsia="zh-CN"/>
              </w:rPr>
              <w:t xml:space="preserve"> </w:t>
            </w:r>
            <w:r>
              <w:rPr>
                <w:rFonts w:hint="eastAsia" w:ascii="仿宋_GB2312" w:hAnsi="仿宋_GB2312" w:eastAsia="仿宋_GB2312" w:cs="仿宋_GB2312"/>
                <w:color w:val="auto"/>
                <w:sz w:val="21"/>
                <w:szCs w:val="21"/>
                <w:highlight w:val="none"/>
                <w:u w:val="single"/>
                <w:lang w:val="zh-CN" w:eastAsia="zh-CN"/>
              </w:rPr>
              <w:t>委托招标</w:t>
            </w:r>
            <w:r>
              <w:rPr>
                <w:rFonts w:hint="eastAsia" w:ascii="仿宋_GB2312" w:hAnsi="仿宋_GB2312" w:eastAsia="仿宋_GB2312" w:cs="仿宋_GB2312"/>
                <w:color w:val="auto"/>
                <w:kern w:val="2"/>
                <w:sz w:val="21"/>
                <w:szCs w:val="21"/>
                <w:highlight w:val="none"/>
                <w:lang w:eastAsia="zh-CN"/>
              </w:rPr>
              <w:t xml:space="preserve"> </w:t>
            </w:r>
            <w:r>
              <w:rPr>
                <w:rFonts w:hint="eastAsia" w:ascii="仿宋_GB2312" w:hAnsi="仿宋_GB2312" w:eastAsia="仿宋_GB2312" w:cs="仿宋_GB2312"/>
                <w:color w:val="auto"/>
                <w:sz w:val="21"/>
                <w:szCs w:val="21"/>
                <w:highlight w:val="none"/>
                <w:lang w:eastAsia="zh-CN"/>
              </w:rPr>
              <w:t>。</w:t>
            </w:r>
          </w:p>
        </w:tc>
      </w:tr>
      <w:tr w14:paraId="6A4AC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828ADA7">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1.1.3</w:t>
            </w:r>
          </w:p>
        </w:tc>
        <w:tc>
          <w:tcPr>
            <w:tcW w:w="1911" w:type="dxa"/>
            <w:vAlign w:val="center"/>
          </w:tcPr>
          <w:p w14:paraId="7B9ABDB3">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招标人</w:t>
            </w:r>
          </w:p>
        </w:tc>
        <w:tc>
          <w:tcPr>
            <w:tcW w:w="6255" w:type="dxa"/>
            <w:vAlign w:val="center"/>
          </w:tcPr>
          <w:p w14:paraId="7A6C7AA7">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名    称：</w:t>
            </w:r>
            <w:r>
              <w:rPr>
                <w:rFonts w:hint="eastAsia" w:ascii="仿宋_GB2312" w:hAnsi="仿宋_GB2312" w:cs="仿宋_GB2312"/>
                <w:color w:val="auto"/>
                <w:spacing w:val="2"/>
                <w:sz w:val="21"/>
                <w:szCs w:val="21"/>
                <w:highlight w:val="none"/>
              </w:rPr>
              <w:t>杭州临江环境能源有限公司</w:t>
            </w:r>
          </w:p>
          <w:p w14:paraId="2EAA57F9">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地    址：</w:t>
            </w:r>
            <w:r>
              <w:rPr>
                <w:rFonts w:hint="eastAsia" w:ascii="仿宋_GB2312" w:hAnsi="仿宋_GB2312" w:cs="仿宋_GB2312"/>
                <w:color w:val="auto"/>
                <w:spacing w:val="2"/>
                <w:sz w:val="21"/>
                <w:szCs w:val="21"/>
                <w:highlight w:val="none"/>
              </w:rPr>
              <w:t>浙江省杭州市钱塘区临江街道红十五路10388-123号</w:t>
            </w:r>
          </w:p>
          <w:p w14:paraId="57FDB64F">
            <w:pPr>
              <w:autoSpaceDE w:val="0"/>
              <w:autoSpaceDN w:val="0"/>
              <w:adjustRightInd w:val="0"/>
              <w:snapToGrid w:val="0"/>
              <w:spacing w:line="320" w:lineRule="exact"/>
              <w:rPr>
                <w:rFonts w:hint="eastAsia" w:ascii="仿宋_GB2312" w:hAnsi="仿宋_GB2312" w:cs="仿宋_GB2312"/>
                <w:color w:val="auto"/>
                <w:kern w:val="0"/>
                <w:sz w:val="21"/>
                <w:szCs w:val="21"/>
                <w:highlight w:val="none"/>
              </w:rPr>
            </w:pPr>
            <w:r>
              <w:rPr>
                <w:rFonts w:hint="eastAsia" w:ascii="仿宋_GB2312" w:hAnsi="仿宋_GB2312" w:cs="仿宋_GB2312"/>
                <w:color w:val="auto"/>
                <w:kern w:val="0"/>
                <w:sz w:val="21"/>
                <w:szCs w:val="21"/>
                <w:highlight w:val="none"/>
                <w:lang w:val="zh-CN"/>
              </w:rPr>
              <w:t>联 系 人：</w:t>
            </w:r>
            <w:r>
              <w:rPr>
                <w:rFonts w:hint="eastAsia" w:ascii="仿宋_GB2312" w:hAnsi="仿宋_GB2312" w:cs="仿宋_GB2312"/>
                <w:color w:val="auto"/>
                <w:kern w:val="0"/>
                <w:sz w:val="21"/>
                <w:szCs w:val="21"/>
                <w:highlight w:val="none"/>
              </w:rPr>
              <w:t>华先生</w:t>
            </w:r>
          </w:p>
          <w:p w14:paraId="3B47E026">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color w:val="auto"/>
                <w:sz w:val="21"/>
                <w:szCs w:val="21"/>
                <w:highlight w:val="none"/>
                <w:lang w:val="zh-CN" w:eastAsia="zh-CN"/>
              </w:rPr>
              <w:t>联系电话：</w:t>
            </w:r>
            <w:r>
              <w:rPr>
                <w:rFonts w:hint="eastAsia" w:ascii="仿宋_GB2312" w:hAnsi="仿宋_GB2312" w:eastAsia="仿宋_GB2312" w:cs="仿宋_GB2312"/>
                <w:color w:val="auto"/>
                <w:spacing w:val="2"/>
                <w:sz w:val="21"/>
                <w:szCs w:val="21"/>
                <w:highlight w:val="none"/>
                <w:lang w:eastAsia="zh-CN"/>
              </w:rPr>
              <w:t>0571-81997921</w:t>
            </w:r>
          </w:p>
          <w:p w14:paraId="4F6ED76A">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邮    箱：</w:t>
            </w:r>
            <w:r>
              <w:rPr>
                <w:rFonts w:hint="eastAsia" w:ascii="仿宋_GB2312" w:hAnsi="仿宋_GB2312" w:eastAsia="仿宋_GB2312" w:cs="仿宋_GB2312"/>
                <w:color w:val="auto"/>
                <w:spacing w:val="2"/>
                <w:sz w:val="21"/>
                <w:szCs w:val="21"/>
                <w:highlight w:val="none"/>
                <w:lang w:eastAsia="zh-CN"/>
              </w:rPr>
              <w:t>LJGS_CG@163.com</w:t>
            </w:r>
          </w:p>
        </w:tc>
      </w:tr>
      <w:tr w14:paraId="1A36B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2BBB3F2">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1.1.4</w:t>
            </w:r>
          </w:p>
        </w:tc>
        <w:tc>
          <w:tcPr>
            <w:tcW w:w="1911" w:type="dxa"/>
            <w:vAlign w:val="center"/>
          </w:tcPr>
          <w:p w14:paraId="05F32714">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采购人</w:t>
            </w:r>
          </w:p>
        </w:tc>
        <w:tc>
          <w:tcPr>
            <w:tcW w:w="6255" w:type="dxa"/>
            <w:vAlign w:val="center"/>
          </w:tcPr>
          <w:p w14:paraId="5C2EEDC6">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名    称：</w:t>
            </w:r>
            <w:r>
              <w:rPr>
                <w:rFonts w:hint="eastAsia" w:ascii="仿宋_GB2312" w:hAnsi="仿宋_GB2312" w:cs="仿宋_GB2312"/>
                <w:color w:val="auto"/>
                <w:spacing w:val="2"/>
                <w:sz w:val="21"/>
                <w:szCs w:val="21"/>
                <w:highlight w:val="none"/>
              </w:rPr>
              <w:t>杭州临江环境能源有限公司</w:t>
            </w:r>
          </w:p>
          <w:p w14:paraId="0F64B806">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地    址：</w:t>
            </w:r>
            <w:r>
              <w:rPr>
                <w:rFonts w:hint="eastAsia" w:ascii="仿宋_GB2312" w:hAnsi="仿宋_GB2312" w:cs="仿宋_GB2312"/>
                <w:color w:val="auto"/>
                <w:spacing w:val="2"/>
                <w:sz w:val="21"/>
                <w:szCs w:val="21"/>
                <w:highlight w:val="none"/>
              </w:rPr>
              <w:t>浙江省杭州市钱塘区临江街道红十五路10388-123号</w:t>
            </w:r>
          </w:p>
          <w:p w14:paraId="25F471A8">
            <w:pPr>
              <w:autoSpaceDE w:val="0"/>
              <w:autoSpaceDN w:val="0"/>
              <w:adjustRightInd w:val="0"/>
              <w:snapToGrid w:val="0"/>
              <w:spacing w:line="320" w:lineRule="exact"/>
              <w:rPr>
                <w:rFonts w:hint="eastAsia" w:ascii="仿宋_GB2312" w:hAnsi="仿宋_GB2312" w:cs="仿宋_GB2312"/>
                <w:color w:val="auto"/>
                <w:kern w:val="0"/>
                <w:sz w:val="21"/>
                <w:szCs w:val="21"/>
                <w:highlight w:val="none"/>
                <w:lang w:val="zh-CN"/>
              </w:rPr>
            </w:pPr>
            <w:r>
              <w:rPr>
                <w:rFonts w:hint="eastAsia" w:ascii="仿宋_GB2312" w:hAnsi="仿宋_GB2312" w:cs="仿宋_GB2312"/>
                <w:color w:val="auto"/>
                <w:kern w:val="0"/>
                <w:sz w:val="21"/>
                <w:szCs w:val="21"/>
                <w:highlight w:val="none"/>
                <w:lang w:val="zh-CN"/>
              </w:rPr>
              <w:t>联 系 人：</w:t>
            </w:r>
            <w:r>
              <w:rPr>
                <w:rFonts w:hint="eastAsia" w:ascii="仿宋_GB2312" w:hAnsi="仿宋_GB2312" w:cs="仿宋_GB2312"/>
                <w:color w:val="auto"/>
                <w:kern w:val="0"/>
                <w:sz w:val="21"/>
                <w:szCs w:val="21"/>
                <w:highlight w:val="none"/>
              </w:rPr>
              <w:t>华先生</w:t>
            </w:r>
          </w:p>
          <w:p w14:paraId="2DB90BB4">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color w:val="auto"/>
                <w:sz w:val="21"/>
                <w:szCs w:val="21"/>
                <w:highlight w:val="none"/>
                <w:lang w:val="zh-CN" w:eastAsia="zh-CN"/>
              </w:rPr>
              <w:t>联系电话：</w:t>
            </w:r>
            <w:r>
              <w:rPr>
                <w:rFonts w:hint="eastAsia" w:ascii="仿宋_GB2312" w:hAnsi="仿宋_GB2312" w:eastAsia="仿宋_GB2312" w:cs="仿宋_GB2312"/>
                <w:color w:val="auto"/>
                <w:spacing w:val="2"/>
                <w:sz w:val="21"/>
                <w:szCs w:val="21"/>
                <w:highlight w:val="none"/>
                <w:lang w:eastAsia="zh-CN"/>
              </w:rPr>
              <w:t>0571-81997921</w:t>
            </w:r>
          </w:p>
          <w:p w14:paraId="2F02D1C8">
            <w:pPr>
              <w:snapToGrid w:val="0"/>
              <w:spacing w:line="400" w:lineRule="exact"/>
              <w:ind w:right="64" w:rightChars="20"/>
              <w:rPr>
                <w:rFonts w:hint="eastAsia" w:ascii="仿宋_GB2312" w:hAnsi="仿宋_GB2312" w:cs="仿宋_GB2312"/>
                <w:snapToGrid w:val="0"/>
                <w:color w:val="auto"/>
                <w:sz w:val="21"/>
                <w:szCs w:val="21"/>
                <w:highlight w:val="none"/>
              </w:rPr>
            </w:pPr>
            <w:r>
              <w:rPr>
                <w:rFonts w:hint="eastAsia" w:ascii="仿宋_GB2312" w:hAnsi="仿宋_GB2312" w:cs="仿宋_GB2312"/>
                <w:snapToGrid w:val="0"/>
                <w:color w:val="auto"/>
                <w:sz w:val="21"/>
                <w:szCs w:val="21"/>
                <w:highlight w:val="none"/>
              </w:rPr>
              <w:t>邮    箱：</w:t>
            </w:r>
            <w:r>
              <w:rPr>
                <w:rFonts w:hint="eastAsia" w:ascii="仿宋_GB2312" w:hAnsi="仿宋_GB2312" w:cs="仿宋_GB2312"/>
                <w:color w:val="auto"/>
                <w:spacing w:val="2"/>
                <w:sz w:val="21"/>
                <w:szCs w:val="21"/>
                <w:highlight w:val="none"/>
              </w:rPr>
              <w:t>LJGS_CG@163.com</w:t>
            </w:r>
          </w:p>
        </w:tc>
      </w:tr>
      <w:tr w14:paraId="56951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F9FB0DB">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1.1.5</w:t>
            </w:r>
          </w:p>
        </w:tc>
        <w:tc>
          <w:tcPr>
            <w:tcW w:w="1911" w:type="dxa"/>
            <w:vAlign w:val="center"/>
          </w:tcPr>
          <w:p w14:paraId="6C508D89">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招标代理机构</w:t>
            </w:r>
          </w:p>
        </w:tc>
        <w:tc>
          <w:tcPr>
            <w:tcW w:w="6255" w:type="dxa"/>
            <w:vAlign w:val="center"/>
          </w:tcPr>
          <w:p w14:paraId="6952A1A6">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名    称：</w:t>
            </w:r>
            <w:r>
              <w:rPr>
                <w:rFonts w:hint="eastAsia" w:ascii="仿宋_GB2312" w:hAnsi="仿宋_GB2312" w:cs="仿宋_GB2312"/>
                <w:snapToGrid w:val="0"/>
                <w:color w:val="auto"/>
                <w:kern w:val="0"/>
                <w:sz w:val="21"/>
                <w:szCs w:val="21"/>
                <w:highlight w:val="none"/>
                <w:u w:val="single"/>
              </w:rPr>
              <w:t xml:space="preserve">浙江省成套招标代理有限公司      </w:t>
            </w:r>
            <w:r>
              <w:rPr>
                <w:rFonts w:hint="eastAsia" w:ascii="仿宋_GB2312" w:hAnsi="仿宋_GB2312" w:cs="仿宋_GB2312"/>
                <w:snapToGrid w:val="0"/>
                <w:color w:val="auto"/>
                <w:kern w:val="0"/>
                <w:sz w:val="21"/>
                <w:szCs w:val="21"/>
                <w:highlight w:val="none"/>
              </w:rPr>
              <w:t>。</w:t>
            </w:r>
          </w:p>
          <w:p w14:paraId="22105844">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地    址：</w:t>
            </w:r>
            <w:r>
              <w:rPr>
                <w:rFonts w:hint="eastAsia" w:ascii="仿宋_GB2312" w:hAnsi="仿宋_GB2312" w:cs="仿宋_GB2312"/>
                <w:snapToGrid w:val="0"/>
                <w:color w:val="auto"/>
                <w:kern w:val="0"/>
                <w:sz w:val="21"/>
                <w:szCs w:val="21"/>
                <w:highlight w:val="none"/>
                <w:u w:val="single"/>
              </w:rPr>
              <w:t xml:space="preserve">杭州市文晖路42号现代置业大厦西楼1806室 </w:t>
            </w:r>
            <w:r>
              <w:rPr>
                <w:rFonts w:hint="eastAsia" w:ascii="仿宋_GB2312" w:hAnsi="仿宋_GB2312" w:cs="仿宋_GB2312"/>
                <w:snapToGrid w:val="0"/>
                <w:color w:val="auto"/>
                <w:kern w:val="0"/>
                <w:sz w:val="21"/>
                <w:szCs w:val="21"/>
                <w:highlight w:val="none"/>
              </w:rPr>
              <w:t>。</w:t>
            </w:r>
          </w:p>
          <w:p w14:paraId="6816DEF3">
            <w:pPr>
              <w:autoSpaceDE w:val="0"/>
              <w:autoSpaceDN w:val="0"/>
              <w:adjustRightInd w:val="0"/>
              <w:snapToGrid w:val="0"/>
              <w:spacing w:line="320" w:lineRule="exact"/>
              <w:rPr>
                <w:rFonts w:hint="eastAsia" w:ascii="仿宋_GB2312" w:hAnsi="仿宋_GB2312" w:cs="仿宋_GB2312"/>
                <w:color w:val="auto"/>
                <w:kern w:val="0"/>
                <w:sz w:val="21"/>
                <w:szCs w:val="21"/>
                <w:highlight w:val="none"/>
                <w:lang w:val="zh-CN"/>
              </w:rPr>
            </w:pPr>
            <w:r>
              <w:rPr>
                <w:rFonts w:hint="eastAsia" w:ascii="仿宋_GB2312" w:hAnsi="仿宋_GB2312" w:cs="仿宋_GB2312"/>
                <w:color w:val="auto"/>
                <w:kern w:val="0"/>
                <w:sz w:val="21"/>
                <w:szCs w:val="21"/>
                <w:highlight w:val="none"/>
                <w:lang w:val="zh-CN"/>
              </w:rPr>
              <w:t>联 系 人：</w:t>
            </w:r>
            <w:r>
              <w:rPr>
                <w:rFonts w:hint="eastAsia" w:ascii="仿宋_GB2312" w:hAnsi="仿宋_GB2312" w:cs="仿宋_GB2312"/>
                <w:snapToGrid w:val="0"/>
                <w:color w:val="auto"/>
                <w:kern w:val="0"/>
                <w:sz w:val="21"/>
                <w:szCs w:val="21"/>
                <w:highlight w:val="none"/>
                <w:u w:val="single"/>
              </w:rPr>
              <w:tab/>
            </w:r>
            <w:r>
              <w:rPr>
                <w:rFonts w:hint="eastAsia" w:ascii="仿宋_GB2312" w:hAnsi="仿宋_GB2312" w:cs="仿宋_GB2312"/>
                <w:snapToGrid w:val="0"/>
                <w:color w:val="auto"/>
                <w:kern w:val="0"/>
                <w:sz w:val="21"/>
                <w:szCs w:val="21"/>
                <w:highlight w:val="none"/>
                <w:u w:val="single"/>
              </w:rPr>
              <w:t xml:space="preserve">吴乾宝、汝建侠        </w:t>
            </w:r>
            <w:r>
              <w:rPr>
                <w:rFonts w:hint="eastAsia" w:ascii="仿宋_GB2312" w:hAnsi="仿宋_GB2312" w:cs="仿宋_GB2312"/>
                <w:snapToGrid w:val="0"/>
                <w:color w:val="auto"/>
                <w:kern w:val="0"/>
                <w:sz w:val="21"/>
                <w:szCs w:val="21"/>
                <w:highlight w:val="none"/>
              </w:rPr>
              <w:t>。</w:t>
            </w:r>
          </w:p>
          <w:p w14:paraId="5073FD99">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color w:val="auto"/>
                <w:sz w:val="21"/>
                <w:szCs w:val="21"/>
                <w:highlight w:val="none"/>
                <w:lang w:val="zh-CN" w:eastAsia="zh-CN"/>
              </w:rPr>
              <w:t>联系电话：</w:t>
            </w:r>
            <w:r>
              <w:rPr>
                <w:rFonts w:hint="eastAsia" w:ascii="仿宋_GB2312" w:hAnsi="仿宋_GB2312" w:eastAsia="仿宋_GB2312" w:cs="仿宋_GB2312"/>
                <w:snapToGrid w:val="0"/>
                <w:color w:val="auto"/>
                <w:sz w:val="21"/>
                <w:szCs w:val="21"/>
                <w:highlight w:val="none"/>
                <w:u w:val="single"/>
                <w:lang w:eastAsia="zh-CN"/>
              </w:rPr>
              <w:t xml:space="preserve">0571-85830195、13656681646 </w:t>
            </w:r>
            <w:r>
              <w:rPr>
                <w:rFonts w:hint="eastAsia" w:ascii="仿宋_GB2312" w:hAnsi="仿宋_GB2312" w:eastAsia="仿宋_GB2312" w:cs="仿宋_GB2312"/>
                <w:snapToGrid w:val="0"/>
                <w:color w:val="auto"/>
                <w:sz w:val="21"/>
                <w:szCs w:val="21"/>
                <w:highlight w:val="none"/>
                <w:lang w:eastAsia="zh-CN"/>
              </w:rPr>
              <w:t>。</w:t>
            </w:r>
          </w:p>
          <w:p w14:paraId="0CD4B0F3">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邮    箱：</w:t>
            </w:r>
            <w:r>
              <w:rPr>
                <w:rFonts w:hint="eastAsia" w:ascii="仿宋_GB2312" w:hAnsi="仿宋_GB2312" w:eastAsia="仿宋_GB2312" w:cs="仿宋_GB2312"/>
                <w:snapToGrid w:val="0"/>
                <w:color w:val="auto"/>
                <w:sz w:val="21"/>
                <w:szCs w:val="21"/>
                <w:highlight w:val="none"/>
                <w:u w:val="single"/>
                <w:lang w:eastAsia="zh-CN"/>
              </w:rPr>
              <w:tab/>
            </w:r>
            <w:r>
              <w:rPr>
                <w:rFonts w:hint="eastAsia" w:ascii="仿宋_GB2312" w:hAnsi="仿宋_GB2312" w:eastAsia="仿宋_GB2312" w:cs="仿宋_GB2312"/>
                <w:snapToGrid w:val="0"/>
                <w:color w:val="auto"/>
                <w:sz w:val="21"/>
                <w:szCs w:val="21"/>
                <w:highlight w:val="none"/>
                <w:u w:val="single"/>
                <w:lang w:eastAsia="zh-CN"/>
              </w:rPr>
              <w:t xml:space="preserve">wuqb@zjsct.cn  </w:t>
            </w:r>
            <w:r>
              <w:rPr>
                <w:rFonts w:hint="eastAsia" w:ascii="仿宋_GB2312" w:hAnsi="仿宋_GB2312" w:eastAsia="仿宋_GB2312" w:cs="仿宋_GB2312"/>
                <w:snapToGrid w:val="0"/>
                <w:color w:val="auto"/>
                <w:sz w:val="21"/>
                <w:szCs w:val="21"/>
                <w:highlight w:val="none"/>
                <w:lang w:eastAsia="zh-CN"/>
              </w:rPr>
              <w:t>。</w:t>
            </w:r>
          </w:p>
        </w:tc>
      </w:tr>
      <w:tr w14:paraId="275F3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F93B2E8">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1.1.6</w:t>
            </w:r>
          </w:p>
        </w:tc>
        <w:tc>
          <w:tcPr>
            <w:tcW w:w="1911" w:type="dxa"/>
            <w:vAlign w:val="center"/>
          </w:tcPr>
          <w:p w14:paraId="50433F21">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项目概况</w:t>
            </w:r>
          </w:p>
        </w:tc>
        <w:tc>
          <w:tcPr>
            <w:tcW w:w="6255" w:type="dxa"/>
            <w:vAlign w:val="center"/>
          </w:tcPr>
          <w:p w14:paraId="3ED9AE74">
            <w:pPr>
              <w:pStyle w:val="22"/>
              <w:adjustRightInd w:val="0"/>
              <w:snapToGrid w:val="0"/>
              <w:spacing w:before="0" w:beforeAutospacing="0" w:after="0" w:afterAutospacing="0" w:line="380" w:lineRule="exac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snapToGrid w:val="0"/>
                <w:color w:val="auto"/>
                <w:sz w:val="21"/>
                <w:szCs w:val="21"/>
                <w:highlight w:val="none"/>
              </w:rPr>
              <w:t>招标编号：</w:t>
            </w:r>
            <w:r>
              <w:rPr>
                <w:rFonts w:hint="eastAsia" w:ascii="仿宋_GB2312" w:hAnsi="仿宋_GB2312" w:eastAsia="仿宋_GB2312" w:cs="仿宋_GB2312"/>
                <w:snapToGrid w:val="0"/>
                <w:color w:val="auto"/>
                <w:sz w:val="21"/>
                <w:szCs w:val="21"/>
                <w:highlight w:val="none"/>
                <w:u w:val="single"/>
              </w:rPr>
              <w:tab/>
            </w:r>
            <w:r>
              <w:rPr>
                <w:rFonts w:hint="eastAsia" w:ascii="仿宋_GB2312" w:hAnsi="仿宋_GB2312" w:eastAsia="仿宋_GB2312" w:cs="仿宋_GB2312"/>
                <w:snapToGrid w:val="0"/>
                <w:color w:val="auto"/>
                <w:sz w:val="21"/>
                <w:szCs w:val="21"/>
                <w:highlight w:val="none"/>
                <w:u w:val="single"/>
              </w:rPr>
              <w:t xml:space="preserve">  </w:t>
            </w:r>
            <w:r>
              <w:rPr>
                <w:rFonts w:hint="eastAsia" w:ascii="仿宋_GB2312" w:hAnsi="仿宋_GB2312" w:eastAsia="仿宋_GB2312" w:cs="仿宋_GB2312"/>
                <w:snapToGrid w:val="0"/>
                <w:color w:val="auto"/>
                <w:sz w:val="21"/>
                <w:szCs w:val="21"/>
                <w:highlight w:val="none"/>
                <w:u w:val="single"/>
                <w:lang w:eastAsia="zh-CN"/>
              </w:rPr>
              <w:t>NY-1FZB2505026</w:t>
            </w:r>
            <w:r>
              <w:rPr>
                <w:rFonts w:hint="eastAsia" w:ascii="仿宋_GB2312" w:hAnsi="仿宋_GB2312" w:eastAsia="仿宋_GB2312" w:cs="仿宋_GB2312"/>
                <w:snapToGrid w:val="0"/>
                <w:color w:val="auto"/>
                <w:sz w:val="21"/>
                <w:szCs w:val="21"/>
                <w:highlight w:val="none"/>
                <w:u w:val="single"/>
              </w:rPr>
              <w:t xml:space="preserve">         </w:t>
            </w:r>
            <w:r>
              <w:rPr>
                <w:rFonts w:hint="eastAsia" w:ascii="仿宋_GB2312" w:hAnsi="仿宋_GB2312" w:eastAsia="仿宋_GB2312" w:cs="仿宋_GB2312"/>
                <w:snapToGrid w:val="0"/>
                <w:color w:val="auto"/>
                <w:sz w:val="21"/>
                <w:szCs w:val="21"/>
                <w:highlight w:val="none"/>
              </w:rPr>
              <w:t>。</w:t>
            </w:r>
          </w:p>
          <w:p w14:paraId="40066D56">
            <w:pPr>
              <w:pStyle w:val="45"/>
              <w:snapToGrid w:val="0"/>
              <w:spacing w:line="400" w:lineRule="exact"/>
              <w:ind w:right="64" w:rightChars="2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项目名称：</w:t>
            </w:r>
            <w:r>
              <w:rPr>
                <w:rFonts w:hint="eastAsia" w:ascii="仿宋_GB2312" w:hAnsi="仿宋_GB2312" w:eastAsia="仿宋_GB2312" w:cs="仿宋_GB2312"/>
                <w:snapToGrid w:val="0"/>
                <w:color w:val="auto"/>
                <w:sz w:val="21"/>
                <w:szCs w:val="21"/>
                <w:highlight w:val="none"/>
                <w:u w:val="single"/>
                <w:lang w:eastAsia="zh-CN"/>
              </w:rPr>
              <w:t>2025年—2028年垃圾吊改造项目</w:t>
            </w:r>
          </w:p>
          <w:p w14:paraId="519D43DF">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项目地点：招标人指定地点。</w:t>
            </w:r>
          </w:p>
          <w:p w14:paraId="1941B4BB">
            <w:pPr>
              <w:pStyle w:val="45"/>
              <w:snapToGrid w:val="0"/>
              <w:spacing w:line="400" w:lineRule="exact"/>
              <w:ind w:right="64" w:rightChars="20"/>
              <w:jc w:val="both"/>
              <w:rPr>
                <w:rFonts w:hint="eastAsia" w:ascii="仿宋_GB2312" w:hAnsi="仿宋_GB2312" w:eastAsia="仿宋_GB2312" w:cs="仿宋_GB2312"/>
                <w:color w:val="auto"/>
                <w:sz w:val="21"/>
                <w:szCs w:val="21"/>
                <w:highlight w:val="none"/>
                <w:u w:val="single"/>
                <w:lang w:eastAsia="zh-CN"/>
              </w:rPr>
            </w:pPr>
            <w:r>
              <w:rPr>
                <w:rFonts w:hint="eastAsia" w:ascii="仿宋_GB2312" w:hAnsi="仿宋_GB2312" w:eastAsia="仿宋_GB2312" w:cs="仿宋_GB2312"/>
                <w:color w:val="auto"/>
                <w:sz w:val="21"/>
                <w:szCs w:val="21"/>
                <w:highlight w:val="none"/>
                <w:lang w:eastAsia="zh-CN"/>
              </w:rPr>
              <w:t>项目</w:t>
            </w:r>
            <w:r>
              <w:rPr>
                <w:rFonts w:hint="eastAsia" w:ascii="仿宋_GB2312" w:hAnsi="仿宋_GB2312" w:eastAsia="仿宋_GB2312" w:cs="仿宋_GB2312"/>
                <w:color w:val="auto"/>
                <w:sz w:val="21"/>
                <w:szCs w:val="21"/>
                <w:highlight w:val="none"/>
                <w:u w:val="single"/>
                <w:lang w:eastAsia="zh-CN"/>
              </w:rPr>
              <w:t>最高限价：785.6（万元）</w:t>
            </w:r>
            <w:r>
              <w:rPr>
                <w:rFonts w:hint="eastAsia" w:ascii="仿宋_GB2312" w:hAnsi="仿宋_GB2312" w:eastAsia="仿宋_GB2312" w:cs="仿宋_GB2312"/>
                <w:b/>
                <w:bCs/>
                <w:snapToGrid w:val="0"/>
                <w:color w:val="auto"/>
                <w:kern w:val="2"/>
                <w:sz w:val="21"/>
                <w:szCs w:val="21"/>
                <w:highlight w:val="none"/>
                <w:u w:val="single"/>
                <w:lang w:val="zh-CN" w:eastAsia="zh-CN"/>
              </w:rPr>
              <w:t>投标人的投标报价超过最高限价的，将作无效标处理</w:t>
            </w:r>
            <w:r>
              <w:rPr>
                <w:rFonts w:hint="eastAsia" w:ascii="仿宋_GB2312" w:hAnsi="仿宋_GB2312" w:eastAsia="仿宋_GB2312" w:cs="仿宋_GB2312"/>
                <w:color w:val="auto"/>
                <w:sz w:val="21"/>
                <w:szCs w:val="21"/>
                <w:highlight w:val="none"/>
                <w:u w:val="single"/>
                <w:lang w:eastAsia="zh-CN"/>
              </w:rPr>
              <w:t xml:space="preserve"> 。</w:t>
            </w:r>
          </w:p>
          <w:p w14:paraId="08BF20EF">
            <w:pPr>
              <w:rPr>
                <w:rFonts w:hint="eastAsia" w:ascii="仿宋_GB2312" w:hAnsi="仿宋_GB2312" w:cs="仿宋_GB2312"/>
                <w:snapToGrid w:val="0"/>
                <w:color w:val="auto"/>
                <w:sz w:val="21"/>
                <w:szCs w:val="21"/>
                <w:highlight w:val="none"/>
              </w:rPr>
            </w:pPr>
            <w:r>
              <w:rPr>
                <w:rFonts w:hint="eastAsia" w:ascii="仿宋_GB2312" w:hAnsi="仿宋_GB2312" w:cs="仿宋_GB2312"/>
                <w:color w:val="auto"/>
                <w:sz w:val="21"/>
                <w:szCs w:val="21"/>
                <w:highlight w:val="none"/>
              </w:rPr>
              <w:t>招标方式：</w:t>
            </w:r>
            <w:r>
              <w:rPr>
                <w:rFonts w:hint="eastAsia" w:ascii="仿宋_GB2312" w:hAnsi="仿宋_GB2312" w:cs="仿宋_GB2312"/>
                <w:color w:val="auto"/>
                <w:sz w:val="21"/>
                <w:szCs w:val="21"/>
                <w:highlight w:val="none"/>
                <w:u w:val="single"/>
              </w:rPr>
              <w:t>公开招标。</w:t>
            </w:r>
          </w:p>
        </w:tc>
      </w:tr>
      <w:tr w14:paraId="5ABE7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9DD9A2E">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1.2.1</w:t>
            </w:r>
          </w:p>
        </w:tc>
        <w:tc>
          <w:tcPr>
            <w:tcW w:w="1911" w:type="dxa"/>
            <w:vAlign w:val="center"/>
          </w:tcPr>
          <w:p w14:paraId="1570902F">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rPr>
            </w:pPr>
            <w:r>
              <w:rPr>
                <w:rFonts w:hint="eastAsia" w:ascii="仿宋_GB2312" w:hAnsi="仿宋_GB2312" w:eastAsia="仿宋_GB2312" w:cs="仿宋_GB2312"/>
                <w:snapToGrid w:val="0"/>
                <w:color w:val="auto"/>
                <w:sz w:val="21"/>
                <w:szCs w:val="21"/>
                <w:highlight w:val="none"/>
              </w:rPr>
              <w:t>资金来源</w:t>
            </w:r>
          </w:p>
          <w:p w14:paraId="1A581AC4">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rPr>
            </w:pPr>
            <w:r>
              <w:rPr>
                <w:rFonts w:hint="eastAsia" w:ascii="仿宋_GB2312" w:hAnsi="仿宋_GB2312" w:eastAsia="仿宋_GB2312" w:cs="仿宋_GB2312"/>
                <w:snapToGrid w:val="0"/>
                <w:color w:val="auto"/>
                <w:sz w:val="21"/>
                <w:szCs w:val="21"/>
                <w:highlight w:val="none"/>
              </w:rPr>
              <w:t>及</w:t>
            </w:r>
            <w:r>
              <w:rPr>
                <w:rFonts w:hint="eastAsia" w:ascii="仿宋_GB2312" w:hAnsi="仿宋_GB2312" w:eastAsia="仿宋_GB2312" w:cs="仿宋_GB2312"/>
                <w:snapToGrid w:val="0"/>
                <w:color w:val="auto"/>
                <w:sz w:val="21"/>
                <w:szCs w:val="21"/>
                <w:highlight w:val="none"/>
                <w:lang w:eastAsia="zh-CN"/>
              </w:rPr>
              <w:t>落实情况</w:t>
            </w:r>
          </w:p>
        </w:tc>
        <w:tc>
          <w:tcPr>
            <w:tcW w:w="6255" w:type="dxa"/>
            <w:vAlign w:val="center"/>
          </w:tcPr>
          <w:p w14:paraId="410793D1">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已落实，自筹</w:t>
            </w:r>
          </w:p>
        </w:tc>
      </w:tr>
      <w:tr w14:paraId="13B65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911BD67">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1.3.1</w:t>
            </w:r>
          </w:p>
        </w:tc>
        <w:tc>
          <w:tcPr>
            <w:tcW w:w="1911" w:type="dxa"/>
            <w:vAlign w:val="center"/>
          </w:tcPr>
          <w:p w14:paraId="189C0BF6">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rPr>
              <w:t>招标范围</w:t>
            </w:r>
            <w:r>
              <w:rPr>
                <w:rFonts w:hint="eastAsia" w:ascii="仿宋_GB2312" w:hAnsi="仿宋_GB2312" w:eastAsia="仿宋_GB2312" w:cs="仿宋_GB2312"/>
                <w:snapToGrid w:val="0"/>
                <w:color w:val="auto"/>
                <w:sz w:val="21"/>
                <w:szCs w:val="21"/>
                <w:highlight w:val="none"/>
                <w:lang w:eastAsia="zh-CN"/>
              </w:rPr>
              <w:t>及内容</w:t>
            </w:r>
          </w:p>
        </w:tc>
        <w:tc>
          <w:tcPr>
            <w:tcW w:w="6255" w:type="dxa"/>
            <w:vAlign w:val="center"/>
          </w:tcPr>
          <w:p w14:paraId="3583934A">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见招标公告</w:t>
            </w:r>
          </w:p>
        </w:tc>
      </w:tr>
      <w:tr w14:paraId="46361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621FC70">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rPr>
              <w:t>1.4.1</w:t>
            </w:r>
          </w:p>
          <w:p w14:paraId="70DE3425">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1.4.2</w:t>
            </w:r>
          </w:p>
        </w:tc>
        <w:tc>
          <w:tcPr>
            <w:tcW w:w="1911" w:type="dxa"/>
            <w:vAlign w:val="center"/>
          </w:tcPr>
          <w:p w14:paraId="17835905">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投标人资格审查方式、资格条件</w:t>
            </w:r>
          </w:p>
        </w:tc>
        <w:tc>
          <w:tcPr>
            <w:tcW w:w="6255" w:type="dxa"/>
            <w:vAlign w:val="center"/>
          </w:tcPr>
          <w:p w14:paraId="24FAC5BF">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投标人资格审查方式：资格后审</w:t>
            </w:r>
          </w:p>
          <w:p w14:paraId="4380FB51">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投标人资格条件见招标公告</w:t>
            </w:r>
          </w:p>
        </w:tc>
      </w:tr>
      <w:tr w14:paraId="05430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53C162C">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rPr>
              <w:t>1.</w:t>
            </w:r>
            <w:r>
              <w:rPr>
                <w:rFonts w:hint="eastAsia" w:ascii="仿宋_GB2312" w:hAnsi="仿宋_GB2312" w:eastAsia="仿宋_GB2312" w:cs="仿宋_GB2312"/>
                <w:snapToGrid w:val="0"/>
                <w:color w:val="auto"/>
                <w:sz w:val="21"/>
                <w:szCs w:val="21"/>
                <w:highlight w:val="none"/>
                <w:lang w:eastAsia="zh-CN"/>
              </w:rPr>
              <w:t>5</w:t>
            </w:r>
            <w:r>
              <w:rPr>
                <w:rFonts w:hint="eastAsia" w:ascii="仿宋_GB2312" w:hAnsi="仿宋_GB2312" w:eastAsia="仿宋_GB2312" w:cs="仿宋_GB2312"/>
                <w:snapToGrid w:val="0"/>
                <w:color w:val="auto"/>
                <w:sz w:val="21"/>
                <w:szCs w:val="21"/>
                <w:highlight w:val="none"/>
              </w:rPr>
              <w:t>.</w:t>
            </w:r>
            <w:r>
              <w:rPr>
                <w:rFonts w:hint="eastAsia" w:ascii="仿宋_GB2312" w:hAnsi="仿宋_GB2312" w:eastAsia="仿宋_GB2312" w:cs="仿宋_GB2312"/>
                <w:snapToGrid w:val="0"/>
                <w:color w:val="auto"/>
                <w:sz w:val="21"/>
                <w:szCs w:val="21"/>
                <w:highlight w:val="none"/>
                <w:lang w:eastAsia="zh-CN"/>
              </w:rPr>
              <w:t>1</w:t>
            </w:r>
          </w:p>
        </w:tc>
        <w:tc>
          <w:tcPr>
            <w:tcW w:w="1911" w:type="dxa"/>
            <w:vAlign w:val="center"/>
          </w:tcPr>
          <w:p w14:paraId="0D2B6663">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rPr>
              <w:t>联合体投标</w:t>
            </w:r>
            <w:r>
              <w:rPr>
                <w:rFonts w:hint="eastAsia" w:ascii="仿宋_GB2312" w:hAnsi="仿宋_GB2312" w:eastAsia="仿宋_GB2312" w:cs="仿宋_GB2312"/>
                <w:snapToGrid w:val="0"/>
                <w:color w:val="auto"/>
                <w:sz w:val="21"/>
                <w:szCs w:val="21"/>
                <w:highlight w:val="none"/>
                <w:lang w:eastAsia="zh-CN"/>
              </w:rPr>
              <w:t>要求</w:t>
            </w:r>
          </w:p>
        </w:tc>
        <w:tc>
          <w:tcPr>
            <w:tcW w:w="6255" w:type="dxa"/>
            <w:vAlign w:val="center"/>
          </w:tcPr>
          <w:p w14:paraId="5503939E">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rPr>
            </w:pPr>
            <w:r>
              <w:rPr>
                <w:rFonts w:hint="eastAsia" w:ascii="仿宋_GB2312" w:hAnsi="仿宋_GB2312" w:eastAsia="仿宋_GB2312" w:cs="仿宋_GB2312"/>
                <w:snapToGrid w:val="0"/>
                <w:color w:val="auto"/>
                <w:sz w:val="21"/>
                <w:szCs w:val="21"/>
                <w:highlight w:val="none"/>
                <w:lang w:eastAsia="zh-CN"/>
              </w:rPr>
              <w:t>☑不接受</w:t>
            </w:r>
          </w:p>
        </w:tc>
      </w:tr>
      <w:tr w14:paraId="6857B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76BCC92B">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1.6.1</w:t>
            </w:r>
          </w:p>
        </w:tc>
        <w:tc>
          <w:tcPr>
            <w:tcW w:w="1911" w:type="dxa"/>
            <w:vAlign w:val="center"/>
          </w:tcPr>
          <w:p w14:paraId="437E7E77">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关联性投标要求</w:t>
            </w:r>
          </w:p>
        </w:tc>
        <w:tc>
          <w:tcPr>
            <w:tcW w:w="6255" w:type="dxa"/>
            <w:vAlign w:val="center"/>
          </w:tcPr>
          <w:p w14:paraId="66C68135">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见招标公告</w:t>
            </w:r>
          </w:p>
        </w:tc>
      </w:tr>
      <w:tr w14:paraId="3601E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0711C44C">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1.7.1</w:t>
            </w:r>
          </w:p>
        </w:tc>
        <w:tc>
          <w:tcPr>
            <w:tcW w:w="1911" w:type="dxa"/>
            <w:vAlign w:val="center"/>
          </w:tcPr>
          <w:p w14:paraId="4FA455CD">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分包</w:t>
            </w:r>
          </w:p>
        </w:tc>
        <w:tc>
          <w:tcPr>
            <w:tcW w:w="6255" w:type="dxa"/>
            <w:vAlign w:val="center"/>
          </w:tcPr>
          <w:p w14:paraId="6E7C6A2B">
            <w:pPr>
              <w:autoSpaceDE w:val="0"/>
              <w:autoSpaceDN w:val="0"/>
              <w:adjustRightInd w:val="0"/>
              <w:snapToGrid w:val="0"/>
              <w:spacing w:line="320" w:lineRule="exact"/>
              <w:rPr>
                <w:rFonts w:hint="eastAsia" w:ascii="仿宋_GB2312" w:hAnsi="仿宋_GB2312" w:cs="仿宋_GB2312"/>
                <w:snapToGrid w:val="0"/>
                <w:color w:val="auto"/>
                <w:sz w:val="21"/>
                <w:szCs w:val="21"/>
                <w:highlight w:val="none"/>
              </w:rPr>
            </w:pPr>
            <w:r>
              <w:rPr>
                <w:rFonts w:hint="eastAsia" w:ascii="仿宋_GB2312" w:hAnsi="仿宋_GB2312" w:cs="仿宋_GB2312"/>
                <w:snapToGrid w:val="0"/>
                <w:color w:val="auto"/>
                <w:kern w:val="0"/>
                <w:sz w:val="21"/>
                <w:szCs w:val="21"/>
                <w:highlight w:val="none"/>
              </w:rPr>
              <w:t>（1）分包：☑ 不允许</w:t>
            </w:r>
          </w:p>
        </w:tc>
      </w:tr>
      <w:tr w14:paraId="3AE5A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1CEB008">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1.8</w:t>
            </w:r>
          </w:p>
        </w:tc>
        <w:tc>
          <w:tcPr>
            <w:tcW w:w="1911" w:type="dxa"/>
            <w:vAlign w:val="center"/>
          </w:tcPr>
          <w:p w14:paraId="7143C36C">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rPr>
            </w:pPr>
            <w:r>
              <w:rPr>
                <w:rFonts w:hint="eastAsia" w:ascii="仿宋_GB2312" w:hAnsi="仿宋_GB2312" w:eastAsia="仿宋_GB2312" w:cs="仿宋_GB2312"/>
                <w:snapToGrid w:val="0"/>
                <w:color w:val="auto"/>
                <w:sz w:val="21"/>
                <w:szCs w:val="21"/>
                <w:highlight w:val="none"/>
                <w:lang w:eastAsia="zh-CN"/>
              </w:rPr>
              <w:t>响应和</w:t>
            </w:r>
            <w:r>
              <w:rPr>
                <w:rFonts w:hint="eastAsia" w:ascii="仿宋_GB2312" w:hAnsi="仿宋_GB2312" w:eastAsia="仿宋_GB2312" w:cs="仿宋_GB2312"/>
                <w:snapToGrid w:val="0"/>
                <w:color w:val="auto"/>
                <w:sz w:val="21"/>
                <w:szCs w:val="21"/>
                <w:highlight w:val="none"/>
              </w:rPr>
              <w:t>偏差</w:t>
            </w:r>
          </w:p>
        </w:tc>
        <w:tc>
          <w:tcPr>
            <w:tcW w:w="6255" w:type="dxa"/>
            <w:vAlign w:val="center"/>
          </w:tcPr>
          <w:p w14:paraId="4FACFFFF">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对投标响应和偏差的要求详见投标人须知1.8</w:t>
            </w:r>
          </w:p>
        </w:tc>
      </w:tr>
      <w:tr w14:paraId="21ECF7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7CA3084">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2</w:t>
            </w:r>
            <w:r>
              <w:rPr>
                <w:rFonts w:hint="eastAsia" w:ascii="仿宋_GB2312" w:hAnsi="仿宋_GB2312" w:eastAsia="仿宋_GB2312" w:cs="仿宋_GB2312"/>
                <w:snapToGrid w:val="0"/>
                <w:color w:val="auto"/>
                <w:sz w:val="21"/>
                <w:szCs w:val="21"/>
                <w:highlight w:val="none"/>
              </w:rPr>
              <w:t>.</w:t>
            </w:r>
            <w:r>
              <w:rPr>
                <w:rFonts w:hint="eastAsia" w:ascii="仿宋_GB2312" w:hAnsi="仿宋_GB2312" w:eastAsia="仿宋_GB2312" w:cs="仿宋_GB2312"/>
                <w:snapToGrid w:val="0"/>
                <w:color w:val="auto"/>
                <w:sz w:val="21"/>
                <w:szCs w:val="21"/>
                <w:highlight w:val="none"/>
                <w:lang w:eastAsia="zh-CN"/>
              </w:rPr>
              <w:t>2</w:t>
            </w:r>
            <w:r>
              <w:rPr>
                <w:rFonts w:hint="eastAsia" w:ascii="仿宋_GB2312" w:hAnsi="仿宋_GB2312" w:eastAsia="仿宋_GB2312" w:cs="仿宋_GB2312"/>
                <w:snapToGrid w:val="0"/>
                <w:color w:val="auto"/>
                <w:sz w:val="21"/>
                <w:szCs w:val="21"/>
                <w:highlight w:val="none"/>
              </w:rPr>
              <w:t>.</w:t>
            </w:r>
            <w:r>
              <w:rPr>
                <w:rFonts w:hint="eastAsia" w:ascii="仿宋_GB2312" w:hAnsi="仿宋_GB2312" w:eastAsia="仿宋_GB2312" w:cs="仿宋_GB2312"/>
                <w:snapToGrid w:val="0"/>
                <w:color w:val="auto"/>
                <w:sz w:val="21"/>
                <w:szCs w:val="21"/>
                <w:highlight w:val="none"/>
                <w:lang w:eastAsia="zh-CN"/>
              </w:rPr>
              <w:t>1</w:t>
            </w:r>
          </w:p>
        </w:tc>
        <w:tc>
          <w:tcPr>
            <w:tcW w:w="1911" w:type="dxa"/>
            <w:vAlign w:val="center"/>
          </w:tcPr>
          <w:p w14:paraId="42B3E6C9">
            <w:pPr>
              <w:pStyle w:val="45"/>
              <w:snapToGrid w:val="0"/>
              <w:spacing w:line="400" w:lineRule="exact"/>
              <w:ind w:right="64" w:rightChars="20"/>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招标文件的获取</w:t>
            </w:r>
          </w:p>
        </w:tc>
        <w:tc>
          <w:tcPr>
            <w:tcW w:w="6255" w:type="dxa"/>
            <w:vAlign w:val="center"/>
          </w:tcPr>
          <w:p w14:paraId="0AA974A8">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招标文件的获取方式、要求见招标公告</w:t>
            </w:r>
          </w:p>
        </w:tc>
      </w:tr>
      <w:tr w14:paraId="7494F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ACD582E">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2.3.1</w:t>
            </w:r>
          </w:p>
        </w:tc>
        <w:tc>
          <w:tcPr>
            <w:tcW w:w="1911" w:type="dxa"/>
            <w:vAlign w:val="center"/>
          </w:tcPr>
          <w:p w14:paraId="52BC9CA0">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对招标文件提出问题的截止时间、方式</w:t>
            </w:r>
          </w:p>
        </w:tc>
        <w:tc>
          <w:tcPr>
            <w:tcW w:w="6255" w:type="dxa"/>
            <w:vAlign w:val="center"/>
          </w:tcPr>
          <w:p w14:paraId="28D17DA5">
            <w:pPr>
              <w:autoSpaceDE w:val="0"/>
              <w:autoSpaceDN w:val="0"/>
              <w:adjustRightInd w:val="0"/>
              <w:snapToGrid w:val="0"/>
              <w:spacing w:line="400" w:lineRule="exact"/>
              <w:jc w:val="left"/>
              <w:rPr>
                <w:rFonts w:hint="eastAsia" w:ascii="仿宋_GB2312" w:hAnsi="仿宋_GB2312" w:cs="仿宋_GB2312"/>
                <w:b/>
                <w:bCs/>
                <w:color w:val="auto"/>
                <w:kern w:val="0"/>
                <w:sz w:val="21"/>
                <w:szCs w:val="21"/>
                <w:highlight w:val="none"/>
                <w:u w:val="single"/>
              </w:rPr>
            </w:pPr>
            <w:r>
              <w:rPr>
                <w:rFonts w:hint="eastAsia" w:ascii="仿宋_GB2312" w:hAnsi="仿宋_GB2312" w:cs="仿宋_GB2312"/>
                <w:color w:val="auto"/>
                <w:kern w:val="0"/>
                <w:sz w:val="21"/>
                <w:szCs w:val="21"/>
                <w:highlight w:val="none"/>
              </w:rPr>
              <w:t xml:space="preserve">提出问题截止时间： </w:t>
            </w:r>
            <w:r>
              <w:rPr>
                <w:rFonts w:hint="eastAsia" w:ascii="仿宋_GB2312" w:hAnsi="仿宋_GB2312" w:cs="仿宋_GB2312"/>
                <w:b/>
                <w:bCs/>
                <w:color w:val="auto"/>
                <w:kern w:val="0"/>
                <w:sz w:val="21"/>
                <w:szCs w:val="21"/>
                <w:highlight w:val="none"/>
                <w:u w:val="single"/>
              </w:rPr>
              <w:t xml:space="preserve">  </w:t>
            </w:r>
            <w:r>
              <w:rPr>
                <w:rFonts w:hint="eastAsia" w:ascii="仿宋_GB2312" w:hAnsi="仿宋_GB2312" w:cs="仿宋_GB2312"/>
                <w:b/>
                <w:bCs/>
                <w:color w:val="auto"/>
                <w:kern w:val="0"/>
                <w:sz w:val="21"/>
                <w:szCs w:val="21"/>
                <w:highlight w:val="none"/>
                <w:u w:val="single"/>
                <w:lang w:val="en-US" w:eastAsia="zh-CN"/>
              </w:rPr>
              <w:t>2025</w:t>
            </w:r>
            <w:r>
              <w:rPr>
                <w:rFonts w:hint="eastAsia" w:ascii="仿宋_GB2312" w:hAnsi="仿宋_GB2312" w:cs="仿宋_GB2312"/>
                <w:b/>
                <w:bCs/>
                <w:color w:val="auto"/>
                <w:kern w:val="0"/>
                <w:sz w:val="21"/>
                <w:szCs w:val="21"/>
                <w:highlight w:val="none"/>
                <w:u w:val="single"/>
              </w:rPr>
              <w:t>年</w:t>
            </w:r>
            <w:r>
              <w:rPr>
                <w:rFonts w:hint="eastAsia" w:ascii="仿宋_GB2312" w:hAnsi="仿宋_GB2312" w:cs="仿宋_GB2312"/>
                <w:b/>
                <w:bCs/>
                <w:color w:val="auto"/>
                <w:kern w:val="0"/>
                <w:sz w:val="21"/>
                <w:szCs w:val="21"/>
                <w:highlight w:val="none"/>
                <w:u w:val="single"/>
                <w:lang w:val="en-US" w:eastAsia="zh-CN"/>
              </w:rPr>
              <w:t>5</w:t>
            </w:r>
            <w:r>
              <w:rPr>
                <w:rFonts w:hint="eastAsia" w:ascii="仿宋_GB2312" w:hAnsi="仿宋_GB2312" w:cs="仿宋_GB2312"/>
                <w:b/>
                <w:bCs/>
                <w:color w:val="auto"/>
                <w:kern w:val="0"/>
                <w:sz w:val="21"/>
                <w:szCs w:val="21"/>
                <w:highlight w:val="none"/>
                <w:u w:val="single"/>
              </w:rPr>
              <w:t>月</w:t>
            </w:r>
            <w:r>
              <w:rPr>
                <w:rFonts w:hint="eastAsia" w:ascii="仿宋_GB2312" w:hAnsi="仿宋_GB2312" w:cs="仿宋_GB2312"/>
                <w:b/>
                <w:bCs/>
                <w:color w:val="auto"/>
                <w:kern w:val="0"/>
                <w:sz w:val="21"/>
                <w:szCs w:val="21"/>
                <w:highlight w:val="none"/>
                <w:u w:val="single"/>
                <w:lang w:val="en-US" w:eastAsia="zh-CN"/>
              </w:rPr>
              <w:t>17</w:t>
            </w:r>
            <w:r>
              <w:rPr>
                <w:rFonts w:hint="eastAsia" w:ascii="仿宋_GB2312" w:hAnsi="仿宋_GB2312" w:cs="仿宋_GB2312"/>
                <w:b/>
                <w:bCs/>
                <w:color w:val="auto"/>
                <w:kern w:val="0"/>
                <w:sz w:val="21"/>
                <w:szCs w:val="21"/>
                <w:highlight w:val="none"/>
                <w:u w:val="single"/>
              </w:rPr>
              <w:t>日</w:t>
            </w:r>
            <w:r>
              <w:rPr>
                <w:rFonts w:hint="eastAsia" w:ascii="仿宋_GB2312" w:hAnsi="仿宋_GB2312" w:cs="仿宋_GB2312"/>
                <w:b/>
                <w:bCs/>
                <w:color w:val="auto"/>
                <w:kern w:val="0"/>
                <w:sz w:val="21"/>
                <w:szCs w:val="21"/>
                <w:highlight w:val="none"/>
                <w:u w:val="single"/>
                <w:lang w:val="en-US" w:eastAsia="zh-CN"/>
              </w:rPr>
              <w:t>17</w:t>
            </w:r>
            <w:r>
              <w:rPr>
                <w:rFonts w:hint="eastAsia" w:ascii="仿宋_GB2312" w:hAnsi="仿宋_GB2312" w:cs="仿宋_GB2312"/>
                <w:b/>
                <w:bCs/>
                <w:color w:val="auto"/>
                <w:kern w:val="0"/>
                <w:sz w:val="21"/>
                <w:szCs w:val="21"/>
                <w:highlight w:val="none"/>
                <w:u w:val="single"/>
              </w:rPr>
              <w:t xml:space="preserve">:00 </w:t>
            </w:r>
          </w:p>
          <w:p w14:paraId="07CDDC6A">
            <w:pPr>
              <w:autoSpaceDE w:val="0"/>
              <w:autoSpaceDN w:val="0"/>
              <w:adjustRightInd w:val="0"/>
              <w:snapToGrid w:val="0"/>
              <w:spacing w:line="400" w:lineRule="exact"/>
              <w:jc w:val="left"/>
              <w:rPr>
                <w:rFonts w:hint="eastAsia" w:ascii="仿宋_GB2312" w:hAnsi="仿宋_GB2312" w:cs="仿宋_GB2312"/>
                <w:b/>
                <w:bCs/>
                <w:color w:val="auto"/>
                <w:kern w:val="0"/>
                <w:sz w:val="21"/>
                <w:szCs w:val="21"/>
                <w:highlight w:val="none"/>
              </w:rPr>
            </w:pPr>
            <w:r>
              <w:rPr>
                <w:rFonts w:hint="eastAsia" w:ascii="仿宋_GB2312" w:hAnsi="仿宋_GB2312" w:cs="仿宋_GB2312"/>
                <w:color w:val="auto"/>
                <w:kern w:val="0"/>
                <w:sz w:val="21"/>
                <w:szCs w:val="21"/>
                <w:highlight w:val="none"/>
              </w:rPr>
              <w:t>提出问题</w:t>
            </w:r>
            <w:r>
              <w:rPr>
                <w:rFonts w:hint="eastAsia" w:ascii="仿宋_GB2312" w:hAnsi="仿宋_GB2312" w:cs="仿宋_GB2312"/>
                <w:snapToGrid w:val="0"/>
                <w:color w:val="auto"/>
                <w:kern w:val="0"/>
                <w:sz w:val="21"/>
                <w:szCs w:val="21"/>
                <w:highlight w:val="none"/>
              </w:rPr>
              <w:t>方式</w:t>
            </w:r>
            <w:r>
              <w:rPr>
                <w:rFonts w:hint="eastAsia" w:ascii="仿宋_GB2312" w:hAnsi="仿宋_GB2312" w:cs="仿宋_GB2312"/>
                <w:color w:val="auto"/>
                <w:kern w:val="0"/>
                <w:sz w:val="21"/>
                <w:szCs w:val="21"/>
                <w:highlight w:val="none"/>
              </w:rPr>
              <w:t>：</w:t>
            </w:r>
            <w:r>
              <w:rPr>
                <w:rFonts w:hint="eastAsia" w:ascii="仿宋_GB2312" w:hAnsi="仿宋_GB2312" w:cs="仿宋_GB2312"/>
                <w:b/>
                <w:bCs/>
                <w:color w:val="auto"/>
                <w:kern w:val="0"/>
                <w:sz w:val="21"/>
                <w:szCs w:val="21"/>
                <w:highlight w:val="none"/>
              </w:rPr>
              <w:t>潜在投标人可登陆杭州城投采购平台通过网络在线方式提出（登录网站https://jczx.hzcjtz.com/→标段详情→项目提疑）。联系方式：0571－85830195、13656681646，联系人：吴乾宝、13656681646。</w:t>
            </w:r>
          </w:p>
          <w:p w14:paraId="7F8D8E31">
            <w:pPr>
              <w:autoSpaceDE w:val="0"/>
              <w:autoSpaceDN w:val="0"/>
              <w:adjustRightInd w:val="0"/>
              <w:snapToGrid w:val="0"/>
              <w:spacing w:line="400" w:lineRule="exact"/>
              <w:jc w:val="left"/>
              <w:rPr>
                <w:rFonts w:hint="eastAsia" w:ascii="仿宋_GB2312" w:hAnsi="仿宋_GB2312" w:cs="仿宋_GB2312"/>
                <w:b/>
                <w:color w:val="auto"/>
                <w:kern w:val="0"/>
                <w:sz w:val="21"/>
                <w:szCs w:val="21"/>
                <w:highlight w:val="none"/>
              </w:rPr>
            </w:pPr>
            <w:r>
              <w:rPr>
                <w:rFonts w:hint="eastAsia" w:ascii="仿宋_GB2312" w:hAnsi="仿宋_GB2312" w:cs="仿宋_GB2312"/>
                <w:b/>
                <w:bCs/>
                <w:color w:val="auto"/>
                <w:kern w:val="0"/>
                <w:sz w:val="21"/>
                <w:szCs w:val="21"/>
                <w:highlight w:val="none"/>
              </w:rPr>
              <w:t>注：未按上述要求提出的问题，招标人有权不予答复。</w:t>
            </w:r>
          </w:p>
        </w:tc>
      </w:tr>
      <w:tr w14:paraId="6FAAC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2C013FD">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2.3.2</w:t>
            </w:r>
          </w:p>
        </w:tc>
        <w:tc>
          <w:tcPr>
            <w:tcW w:w="1911" w:type="dxa"/>
            <w:vAlign w:val="center"/>
          </w:tcPr>
          <w:p w14:paraId="6DCB9684">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sz w:val="21"/>
                <w:szCs w:val="21"/>
                <w:highlight w:val="none"/>
              </w:rPr>
              <w:t>招标文件澄清、修改发出的形式</w:t>
            </w:r>
          </w:p>
        </w:tc>
        <w:tc>
          <w:tcPr>
            <w:tcW w:w="6255" w:type="dxa"/>
            <w:vAlign w:val="center"/>
          </w:tcPr>
          <w:p w14:paraId="365A3C57">
            <w:pPr>
              <w:adjustRightInd w:val="0"/>
              <w:snapToGrid w:val="0"/>
              <w:spacing w:line="360" w:lineRule="auto"/>
              <w:jc w:val="left"/>
              <w:rPr>
                <w:rFonts w:hint="eastAsia" w:ascii="仿宋_GB2312" w:hAnsi="仿宋_GB2312" w:cs="仿宋_GB2312"/>
                <w:b/>
                <w:bCs/>
                <w:color w:val="auto"/>
                <w:kern w:val="0"/>
                <w:sz w:val="21"/>
                <w:szCs w:val="21"/>
                <w:highlight w:val="none"/>
                <w:u w:val="single"/>
              </w:rPr>
            </w:pPr>
            <w:r>
              <w:rPr>
                <w:rFonts w:hint="eastAsia" w:ascii="仿宋_GB2312" w:hAnsi="仿宋_GB2312" w:cs="仿宋_GB2312"/>
                <w:color w:val="auto"/>
                <w:kern w:val="0"/>
                <w:sz w:val="21"/>
                <w:szCs w:val="21"/>
                <w:highlight w:val="none"/>
              </w:rPr>
              <w:t>澄清问题截止时间：</w:t>
            </w:r>
            <w:r>
              <w:rPr>
                <w:rFonts w:hint="eastAsia" w:ascii="仿宋_GB2312" w:hAnsi="仿宋_GB2312" w:cs="仿宋_GB2312"/>
                <w:color w:val="auto"/>
                <w:kern w:val="0"/>
                <w:sz w:val="21"/>
                <w:szCs w:val="21"/>
                <w:highlight w:val="none"/>
                <w:u w:val="single"/>
              </w:rPr>
              <w:t xml:space="preserve"> </w:t>
            </w:r>
            <w:r>
              <w:rPr>
                <w:rFonts w:hint="eastAsia" w:ascii="仿宋_GB2312" w:hAnsi="仿宋_GB2312" w:cs="仿宋_GB2312"/>
                <w:color w:val="auto"/>
                <w:kern w:val="0"/>
                <w:sz w:val="21"/>
                <w:szCs w:val="21"/>
                <w:highlight w:val="none"/>
                <w:u w:val="single"/>
                <w:lang w:val="en-US" w:eastAsia="zh-CN"/>
              </w:rPr>
              <w:t>2025</w:t>
            </w:r>
            <w:r>
              <w:rPr>
                <w:rFonts w:hint="eastAsia" w:ascii="仿宋_GB2312" w:hAnsi="仿宋_GB2312" w:cs="仿宋_GB2312"/>
                <w:b/>
                <w:bCs/>
                <w:color w:val="auto"/>
                <w:kern w:val="0"/>
                <w:sz w:val="21"/>
                <w:szCs w:val="21"/>
                <w:highlight w:val="none"/>
                <w:u w:val="single"/>
              </w:rPr>
              <w:t>年</w:t>
            </w:r>
            <w:r>
              <w:rPr>
                <w:rFonts w:hint="eastAsia" w:ascii="仿宋_GB2312" w:hAnsi="仿宋_GB2312" w:cs="仿宋_GB2312"/>
                <w:b/>
                <w:bCs/>
                <w:color w:val="auto"/>
                <w:kern w:val="0"/>
                <w:sz w:val="21"/>
                <w:szCs w:val="21"/>
                <w:highlight w:val="none"/>
                <w:u w:val="single"/>
                <w:lang w:val="en-US" w:eastAsia="zh-CN"/>
              </w:rPr>
              <w:t>5</w:t>
            </w:r>
            <w:r>
              <w:rPr>
                <w:rFonts w:hint="eastAsia" w:ascii="仿宋_GB2312" w:hAnsi="仿宋_GB2312" w:cs="仿宋_GB2312"/>
                <w:b/>
                <w:bCs/>
                <w:color w:val="auto"/>
                <w:kern w:val="0"/>
                <w:sz w:val="21"/>
                <w:szCs w:val="21"/>
                <w:highlight w:val="none"/>
                <w:u w:val="single"/>
              </w:rPr>
              <w:t>月</w:t>
            </w:r>
            <w:r>
              <w:rPr>
                <w:rFonts w:hint="eastAsia" w:ascii="仿宋_GB2312" w:hAnsi="仿宋_GB2312" w:cs="仿宋_GB2312"/>
                <w:b/>
                <w:bCs/>
                <w:color w:val="auto"/>
                <w:kern w:val="0"/>
                <w:sz w:val="21"/>
                <w:szCs w:val="21"/>
                <w:highlight w:val="none"/>
                <w:u w:val="single"/>
                <w:lang w:val="en-US" w:eastAsia="zh-CN"/>
              </w:rPr>
              <w:t>20</w:t>
            </w:r>
            <w:r>
              <w:rPr>
                <w:rFonts w:hint="eastAsia" w:ascii="仿宋_GB2312" w:hAnsi="仿宋_GB2312" w:cs="仿宋_GB2312"/>
                <w:b/>
                <w:bCs/>
                <w:color w:val="auto"/>
                <w:kern w:val="0"/>
                <w:sz w:val="21"/>
                <w:szCs w:val="21"/>
                <w:highlight w:val="none"/>
                <w:u w:val="single"/>
              </w:rPr>
              <w:t>日</w:t>
            </w:r>
            <w:r>
              <w:rPr>
                <w:rFonts w:hint="eastAsia" w:ascii="仿宋_GB2312" w:hAnsi="仿宋_GB2312" w:cs="仿宋_GB2312"/>
                <w:b/>
                <w:bCs/>
                <w:color w:val="auto"/>
                <w:kern w:val="0"/>
                <w:sz w:val="21"/>
                <w:szCs w:val="21"/>
                <w:highlight w:val="none"/>
                <w:u w:val="single"/>
                <w:lang w:val="en-US" w:eastAsia="zh-CN"/>
              </w:rPr>
              <w:t>17</w:t>
            </w:r>
            <w:r>
              <w:rPr>
                <w:rFonts w:hint="eastAsia" w:ascii="仿宋_GB2312" w:hAnsi="仿宋_GB2312" w:cs="仿宋_GB2312"/>
                <w:b/>
                <w:bCs/>
                <w:color w:val="auto"/>
                <w:kern w:val="0"/>
                <w:sz w:val="21"/>
                <w:szCs w:val="21"/>
                <w:highlight w:val="none"/>
                <w:u w:val="single"/>
              </w:rPr>
              <w:t>:00</w:t>
            </w:r>
          </w:p>
          <w:p w14:paraId="3EC9AF25">
            <w:pPr>
              <w:spacing w:line="360" w:lineRule="auto"/>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sz w:val="21"/>
                <w:szCs w:val="21"/>
                <w:highlight w:val="none"/>
              </w:rPr>
              <w:t>在</w:t>
            </w:r>
            <w:r>
              <w:rPr>
                <w:rFonts w:hint="eastAsia" w:ascii="仿宋_GB2312" w:hAnsi="仿宋_GB2312" w:cs="仿宋_GB2312"/>
                <w:snapToGrid w:val="0"/>
                <w:color w:val="auto"/>
                <w:sz w:val="21"/>
                <w:szCs w:val="21"/>
                <w:highlight w:val="none"/>
                <w:lang w:val="zh-CN"/>
              </w:rPr>
              <w:t>本项目招标公告发布页面公布（详见</w:t>
            </w:r>
            <w:r>
              <w:rPr>
                <w:rFonts w:hint="eastAsia" w:ascii="仿宋_GB2312" w:hAnsi="仿宋_GB2312" w:cs="仿宋_GB2312"/>
                <w:snapToGrid w:val="0"/>
                <w:color w:val="auto"/>
                <w:sz w:val="21"/>
                <w:szCs w:val="21"/>
                <w:highlight w:val="none"/>
              </w:rPr>
              <w:t>更正答疑</w:t>
            </w:r>
            <w:r>
              <w:rPr>
                <w:rFonts w:hint="eastAsia" w:ascii="仿宋_GB2312" w:hAnsi="仿宋_GB2312" w:cs="仿宋_GB2312"/>
                <w:snapToGrid w:val="0"/>
                <w:color w:val="auto"/>
                <w:sz w:val="21"/>
                <w:szCs w:val="21"/>
                <w:highlight w:val="none"/>
                <w:lang w:val="zh-CN"/>
              </w:rPr>
              <w:t>公告），投标人可自行下载获取澄清或修改</w:t>
            </w:r>
            <w:r>
              <w:rPr>
                <w:rFonts w:hint="eastAsia" w:ascii="仿宋_GB2312" w:hAnsi="仿宋_GB2312" w:cs="仿宋_GB2312"/>
                <w:snapToGrid w:val="0"/>
                <w:color w:val="auto"/>
                <w:kern w:val="0"/>
                <w:sz w:val="21"/>
                <w:szCs w:val="21"/>
                <w:highlight w:val="none"/>
              </w:rPr>
              <w:t>文件，投标截止时间前，请投标人务必关注补充公告。</w:t>
            </w:r>
          </w:p>
          <w:p w14:paraId="5A50FA9A">
            <w:pPr>
              <w:spacing w:line="360" w:lineRule="auto"/>
              <w:rPr>
                <w:rFonts w:hint="eastAsia" w:ascii="仿宋_GB2312" w:hAnsi="仿宋_GB2312" w:cs="仿宋_GB2312"/>
                <w:color w:val="auto"/>
                <w:kern w:val="0"/>
                <w:sz w:val="21"/>
                <w:szCs w:val="21"/>
                <w:highlight w:val="none"/>
              </w:rPr>
            </w:pPr>
            <w:r>
              <w:rPr>
                <w:rFonts w:hint="eastAsia" w:ascii="仿宋_GB2312" w:hAnsi="仿宋_GB2312" w:cs="仿宋_GB2312"/>
                <w:b/>
                <w:bCs/>
                <w:snapToGrid w:val="0"/>
                <w:color w:val="auto"/>
                <w:kern w:val="0"/>
                <w:sz w:val="21"/>
                <w:szCs w:val="21"/>
                <w:highlight w:val="none"/>
              </w:rPr>
              <w:t>注：投标截止时间前，请投标人务必关注补充公告。</w:t>
            </w:r>
          </w:p>
        </w:tc>
      </w:tr>
      <w:tr w14:paraId="59CF0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6F37805">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3.1</w:t>
            </w:r>
          </w:p>
        </w:tc>
        <w:tc>
          <w:tcPr>
            <w:tcW w:w="1911" w:type="dxa"/>
            <w:vAlign w:val="center"/>
          </w:tcPr>
          <w:p w14:paraId="45500B4B">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投标文件组成</w:t>
            </w:r>
          </w:p>
        </w:tc>
        <w:tc>
          <w:tcPr>
            <w:tcW w:w="6255" w:type="dxa"/>
            <w:vAlign w:val="center"/>
          </w:tcPr>
          <w:p w14:paraId="2ACE0DEB">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投标文件由资格文件、商务文件、资信文件、技术文件四部分组成。1.资格文件</w:t>
            </w:r>
          </w:p>
          <w:p w14:paraId="3DF8C9C3">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（1）有效营业执照或事业单位法人证书、社会团体法人登记证书或其他组织登记证明文件、税务登记证和委托书（如已办理三证合一的投标人，提供三证合一后的“营业执照”（副本）复印件即可）；</w:t>
            </w:r>
          </w:p>
          <w:p w14:paraId="0C610C12">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lang w:val="zh-CN"/>
              </w:rPr>
            </w:pPr>
            <w:r>
              <w:rPr>
                <w:rFonts w:hint="eastAsia" w:ascii="仿宋_GB2312" w:hAnsi="仿宋_GB2312" w:cs="仿宋_GB2312"/>
                <w:snapToGrid w:val="0"/>
                <w:color w:val="auto"/>
                <w:kern w:val="0"/>
                <w:sz w:val="21"/>
                <w:szCs w:val="21"/>
                <w:highlight w:val="none"/>
              </w:rPr>
              <w:t>（2</w:t>
            </w:r>
            <w:r>
              <w:rPr>
                <w:rFonts w:hint="eastAsia" w:ascii="仿宋_GB2312" w:hAnsi="仿宋_GB2312" w:cs="仿宋_GB2312"/>
                <w:snapToGrid w:val="0"/>
                <w:color w:val="auto"/>
                <w:kern w:val="0"/>
                <w:sz w:val="21"/>
                <w:szCs w:val="21"/>
                <w:highlight w:val="none"/>
                <w:lang w:val="zh-CN"/>
              </w:rPr>
              <w:t>）</w:t>
            </w:r>
            <w:r>
              <w:rPr>
                <w:rFonts w:hint="eastAsia" w:ascii="仿宋_GB2312" w:hAnsi="仿宋_GB2312" w:cs="仿宋_GB2312"/>
                <w:snapToGrid w:val="0"/>
                <w:color w:val="auto"/>
                <w:kern w:val="0"/>
                <w:sz w:val="21"/>
                <w:szCs w:val="21"/>
                <w:highlight w:val="none"/>
              </w:rPr>
              <w:t>投标保证金缴存证明；</w:t>
            </w:r>
          </w:p>
          <w:p w14:paraId="0218B3EF">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lang w:val="zh-CN"/>
              </w:rPr>
            </w:pPr>
            <w:r>
              <w:rPr>
                <w:rFonts w:hint="eastAsia" w:ascii="仿宋_GB2312" w:hAnsi="仿宋_GB2312" w:cs="仿宋_GB2312"/>
                <w:snapToGrid w:val="0"/>
                <w:color w:val="auto"/>
                <w:kern w:val="0"/>
                <w:sz w:val="21"/>
                <w:szCs w:val="21"/>
                <w:highlight w:val="none"/>
                <w:lang w:val="zh-CN"/>
              </w:rPr>
              <w:t>（</w:t>
            </w:r>
            <w:r>
              <w:rPr>
                <w:rFonts w:hint="eastAsia" w:ascii="仿宋_GB2312" w:hAnsi="仿宋_GB2312" w:cs="仿宋_GB2312"/>
                <w:snapToGrid w:val="0"/>
                <w:color w:val="auto"/>
                <w:kern w:val="0"/>
                <w:sz w:val="21"/>
                <w:szCs w:val="21"/>
                <w:highlight w:val="none"/>
              </w:rPr>
              <w:t>3）</w:t>
            </w:r>
            <w:r>
              <w:rPr>
                <w:rFonts w:hint="eastAsia" w:ascii="仿宋_GB2312" w:hAnsi="仿宋_GB2312" w:cs="仿宋_GB2312"/>
                <w:snapToGrid w:val="0"/>
                <w:color w:val="auto"/>
                <w:kern w:val="0"/>
                <w:sz w:val="21"/>
                <w:szCs w:val="21"/>
                <w:highlight w:val="none"/>
                <w:lang w:val="zh-CN"/>
              </w:rPr>
              <w:t>其他：</w:t>
            </w:r>
            <w:r>
              <w:rPr>
                <w:rFonts w:hint="eastAsia" w:ascii="仿宋_GB2312" w:hAnsi="仿宋_GB2312" w:cs="仿宋_GB2312"/>
                <w:snapToGrid w:val="0"/>
                <w:color w:val="auto"/>
                <w:kern w:val="0"/>
                <w:sz w:val="21"/>
                <w:szCs w:val="21"/>
                <w:highlight w:val="none"/>
                <w:u w:val="single"/>
              </w:rPr>
              <w:t>有效期内的特种设备生产（或制造）许可证。</w:t>
            </w:r>
          </w:p>
          <w:p w14:paraId="08BB7D71">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2.商务报价部分</w:t>
            </w:r>
          </w:p>
          <w:p w14:paraId="1BC81293">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（1）投标函；</w:t>
            </w:r>
          </w:p>
          <w:p w14:paraId="657D568D">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（2）投标报价明细表；</w:t>
            </w:r>
          </w:p>
          <w:p w14:paraId="146E42EB">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（3）法定代表人资格证明书、法定代表人授权委托书(单独提供，同时装订在商务报价文件中)；</w:t>
            </w:r>
          </w:p>
          <w:p w14:paraId="6509EB83">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（4）联合体协议书（若有）；</w:t>
            </w:r>
          </w:p>
          <w:p w14:paraId="489CFEFE">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（5）商务偏离表（若不填写，则视为完全响应招标文件的技术要求）；</w:t>
            </w:r>
          </w:p>
          <w:p w14:paraId="49EF4085">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（6）商务优惠条件及特殊承诺。</w:t>
            </w:r>
          </w:p>
          <w:p w14:paraId="7A8B1DE2">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3.资信文件部分</w:t>
            </w:r>
          </w:p>
          <w:p w14:paraId="460652B3">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（1）投标人情况表；</w:t>
            </w:r>
          </w:p>
          <w:p w14:paraId="7B9F7092">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（2）股东信息及出资比例信息表</w:t>
            </w:r>
          </w:p>
          <w:p w14:paraId="2EAE7F2F">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 xml:space="preserve">（3）投标人近  </w:t>
            </w:r>
            <w:r>
              <w:rPr>
                <w:rFonts w:hint="eastAsia" w:ascii="仿宋_GB2312" w:hAnsi="仿宋_GB2312" w:cs="仿宋_GB2312"/>
                <w:snapToGrid w:val="0"/>
                <w:color w:val="auto"/>
                <w:kern w:val="0"/>
                <w:sz w:val="21"/>
                <w:szCs w:val="21"/>
                <w:highlight w:val="none"/>
                <w:u w:val="single"/>
              </w:rPr>
              <w:t xml:space="preserve"> </w:t>
            </w:r>
            <w:r>
              <w:rPr>
                <w:rFonts w:hint="eastAsia" w:ascii="仿宋_GB2312" w:hAnsi="仿宋_GB2312" w:cs="仿宋_GB2312"/>
                <w:snapToGrid w:val="0"/>
                <w:color w:val="auto"/>
                <w:kern w:val="0"/>
                <w:sz w:val="21"/>
                <w:szCs w:val="21"/>
                <w:highlight w:val="none"/>
                <w:u w:val="single"/>
                <w:lang w:val="en-US" w:eastAsia="zh-CN"/>
              </w:rPr>
              <w:t>5</w:t>
            </w:r>
            <w:r>
              <w:rPr>
                <w:rFonts w:hint="eastAsia" w:ascii="仿宋_GB2312" w:hAnsi="仿宋_GB2312" w:cs="仿宋_GB2312"/>
                <w:snapToGrid w:val="0"/>
                <w:color w:val="auto"/>
                <w:kern w:val="0"/>
                <w:sz w:val="21"/>
                <w:szCs w:val="21"/>
                <w:highlight w:val="none"/>
                <w:u w:val="single"/>
              </w:rPr>
              <w:t xml:space="preserve"> </w:t>
            </w:r>
            <w:r>
              <w:rPr>
                <w:rFonts w:hint="eastAsia" w:ascii="仿宋_GB2312" w:hAnsi="仿宋_GB2312" w:cs="仿宋_GB2312"/>
                <w:snapToGrid w:val="0"/>
                <w:color w:val="auto"/>
                <w:kern w:val="0"/>
                <w:sz w:val="21"/>
                <w:szCs w:val="21"/>
                <w:highlight w:val="none"/>
              </w:rPr>
              <w:t xml:space="preserve"> 年类似业绩情况表（证明材料提供合同）；</w:t>
            </w:r>
          </w:p>
          <w:p w14:paraId="77520882">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（4）诚信廉洁承诺函；</w:t>
            </w:r>
          </w:p>
          <w:p w14:paraId="211D6CA6">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（5）安全服务承诺函；</w:t>
            </w:r>
          </w:p>
          <w:p w14:paraId="00DDD4E1">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（6）合法知识产权承诺函</w:t>
            </w:r>
          </w:p>
          <w:p w14:paraId="593C7488">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（7）投标人认为有必要的其他内容等。</w:t>
            </w:r>
          </w:p>
          <w:p w14:paraId="7F4F7978">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4.技术部分（</w:t>
            </w:r>
            <w:r>
              <w:rPr>
                <w:rFonts w:hint="eastAsia" w:ascii="仿宋_GB2312" w:hAnsi="仿宋_GB2312" w:cs="仿宋_GB2312"/>
                <w:color w:val="auto"/>
                <w:sz w:val="21"/>
                <w:szCs w:val="21"/>
                <w:highlight w:val="none"/>
              </w:rPr>
              <w:t>以下内容仅供参考，可根据项目实际情况自行修改，本部分</w:t>
            </w:r>
            <w:r>
              <w:rPr>
                <w:rFonts w:hint="eastAsia" w:ascii="仿宋_GB2312" w:hAnsi="仿宋_GB2312" w:cs="仿宋_GB2312"/>
                <w:color w:val="auto"/>
                <w:sz w:val="21"/>
                <w:szCs w:val="21"/>
                <w:highlight w:val="none"/>
                <w:lang w:val="en-US" w:eastAsia="zh-CN"/>
              </w:rPr>
              <w:t>内容</w:t>
            </w:r>
            <w:r>
              <w:rPr>
                <w:rFonts w:hint="eastAsia" w:ascii="仿宋_GB2312" w:hAnsi="仿宋_GB2312" w:cs="仿宋_GB2312"/>
                <w:color w:val="auto"/>
                <w:sz w:val="21"/>
                <w:szCs w:val="21"/>
                <w:highlight w:val="none"/>
              </w:rPr>
              <w:t>不属于否决投标内容</w:t>
            </w:r>
            <w:r>
              <w:rPr>
                <w:rFonts w:hint="eastAsia" w:ascii="仿宋_GB2312" w:hAnsi="仿宋_GB2312" w:cs="仿宋_GB2312"/>
                <w:snapToGrid w:val="0"/>
                <w:color w:val="auto"/>
                <w:kern w:val="0"/>
                <w:sz w:val="21"/>
                <w:szCs w:val="21"/>
                <w:highlight w:val="none"/>
              </w:rPr>
              <w:t>）</w:t>
            </w:r>
          </w:p>
          <w:p w14:paraId="26F3E3C3">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（1）技术与服务解决方案：</w:t>
            </w:r>
          </w:p>
          <w:p w14:paraId="75756A5B">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（2）增值服务及特殊承诺；</w:t>
            </w:r>
          </w:p>
          <w:p w14:paraId="347E1FF1">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（3）技术偏离表；</w:t>
            </w:r>
          </w:p>
          <w:p w14:paraId="659C3631">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（4）投标人认为需要的提供的其他文件和说明。</w:t>
            </w:r>
          </w:p>
          <w:p w14:paraId="34D7E73E">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备注：以上证明材料提供复制件加盖公章。</w:t>
            </w:r>
          </w:p>
        </w:tc>
      </w:tr>
      <w:tr w14:paraId="3E4DE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792F432">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3.4.2</w:t>
            </w:r>
          </w:p>
        </w:tc>
        <w:tc>
          <w:tcPr>
            <w:tcW w:w="1911" w:type="dxa"/>
            <w:vAlign w:val="center"/>
          </w:tcPr>
          <w:p w14:paraId="5BAF19AC">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sz w:val="21"/>
                <w:szCs w:val="21"/>
                <w:highlight w:val="none"/>
              </w:rPr>
              <w:t>投标文件份数及其他要求</w:t>
            </w:r>
          </w:p>
        </w:tc>
        <w:tc>
          <w:tcPr>
            <w:tcW w:w="6255" w:type="dxa"/>
            <w:vAlign w:val="center"/>
          </w:tcPr>
          <w:p w14:paraId="6778D0E5">
            <w:pPr>
              <w:pStyle w:val="45"/>
              <w:snapToGrid w:val="0"/>
              <w:spacing w:line="400" w:lineRule="exact"/>
              <w:ind w:right="64" w:rightChars="2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投标文件份数：1正</w:t>
            </w:r>
            <w:r>
              <w:rPr>
                <w:rFonts w:hint="eastAsia" w:ascii="仿宋_GB2312" w:hAnsi="仿宋_GB2312" w:eastAsia="仿宋_GB2312" w:cs="仿宋_GB2312"/>
                <w:color w:val="auto"/>
                <w:sz w:val="21"/>
                <w:szCs w:val="21"/>
                <w:highlight w:val="none"/>
                <w:u w:val="single"/>
                <w:lang w:eastAsia="zh-CN"/>
              </w:rPr>
              <w:t>4</w:t>
            </w:r>
            <w:r>
              <w:rPr>
                <w:rFonts w:hint="eastAsia" w:ascii="仿宋_GB2312" w:hAnsi="仿宋_GB2312" w:eastAsia="仿宋_GB2312" w:cs="仿宋_GB2312"/>
                <w:color w:val="auto"/>
                <w:sz w:val="21"/>
                <w:szCs w:val="21"/>
                <w:highlight w:val="none"/>
                <w:lang w:eastAsia="zh-CN"/>
              </w:rPr>
              <w:t>副</w:t>
            </w:r>
          </w:p>
          <w:p w14:paraId="20F2D33C">
            <w:pPr>
              <w:autoSpaceDE w:val="0"/>
              <w:autoSpaceDN w:val="0"/>
              <w:adjustRightInd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提交电子版文件：</w:t>
            </w:r>
          </w:p>
          <w:p w14:paraId="1E9E69CF">
            <w:pPr>
              <w:autoSpaceDE w:val="0"/>
              <w:autoSpaceDN w:val="0"/>
              <w:adjustRightInd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☑是</w:t>
            </w:r>
            <w:r>
              <w:rPr>
                <w:rFonts w:hint="eastAsia" w:ascii="仿宋_GB2312" w:hAnsi="仿宋_GB2312" w:cs="仿宋_GB2312"/>
                <w:b/>
                <w:bCs/>
                <w:color w:val="auto"/>
                <w:sz w:val="21"/>
                <w:szCs w:val="21"/>
                <w:highlight w:val="none"/>
              </w:rPr>
              <w:t>，提交电子版带红章的PDF文件及word版本各1份（形式为：</w:t>
            </w:r>
            <w:r>
              <w:rPr>
                <w:rFonts w:hint="eastAsia" w:ascii="仿宋_GB2312" w:hAnsi="仿宋_GB2312" w:cs="仿宋_GB2312"/>
                <w:b/>
                <w:bCs/>
                <w:color w:val="auto"/>
                <w:sz w:val="21"/>
                <w:szCs w:val="21"/>
                <w:highlight w:val="none"/>
                <w:u w:val="single"/>
              </w:rPr>
              <w:t xml:space="preserve">     U盘</w:t>
            </w:r>
            <w:r>
              <w:rPr>
                <w:rFonts w:hint="eastAsia" w:ascii="仿宋_GB2312" w:hAnsi="仿宋_GB2312" w:cs="仿宋_GB2312"/>
                <w:b/>
                <w:bCs/>
                <w:color w:val="auto"/>
                <w:sz w:val="21"/>
                <w:szCs w:val="21"/>
                <w:highlight w:val="none"/>
              </w:rPr>
              <w:t>）（与投标文件一起密封）。</w:t>
            </w:r>
          </w:p>
        </w:tc>
      </w:tr>
      <w:tr w14:paraId="395E4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1002" w:type="dxa"/>
            <w:vAlign w:val="center"/>
          </w:tcPr>
          <w:p w14:paraId="4DEA5440">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3.4.3</w:t>
            </w:r>
          </w:p>
        </w:tc>
        <w:tc>
          <w:tcPr>
            <w:tcW w:w="1911" w:type="dxa"/>
            <w:vAlign w:val="center"/>
          </w:tcPr>
          <w:p w14:paraId="31AEF46A">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装订要求</w:t>
            </w:r>
          </w:p>
        </w:tc>
        <w:tc>
          <w:tcPr>
            <w:tcW w:w="6255" w:type="dxa"/>
            <w:vAlign w:val="center"/>
          </w:tcPr>
          <w:p w14:paraId="1FE36632">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是否分册装订：</w:t>
            </w:r>
          </w:p>
          <w:p w14:paraId="71D43DEA">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u w:val="single"/>
                <w:lang w:eastAsia="zh-CN"/>
              </w:rPr>
            </w:pPr>
            <w:r>
              <w:rPr>
                <w:rFonts w:hint="eastAsia" w:ascii="仿宋_GB2312" w:hAnsi="仿宋_GB2312" w:eastAsia="仿宋_GB2312" w:cs="仿宋_GB2312"/>
                <w:snapToGrid w:val="0"/>
                <w:color w:val="auto"/>
                <w:sz w:val="21"/>
                <w:szCs w:val="21"/>
                <w:highlight w:val="none"/>
                <w:lang w:eastAsia="zh-CN"/>
              </w:rPr>
              <w:t>☑不分册装订；</w:t>
            </w:r>
          </w:p>
          <w:p w14:paraId="76582B39">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装订要求：A4幅面，卡纸作封面。每册采用胶装方式装订，装订应牢固、不易拆散和换页，不得采用活页装订。</w:t>
            </w:r>
          </w:p>
          <w:p w14:paraId="2F7F153B">
            <w:pPr>
              <w:pStyle w:val="45"/>
              <w:snapToGrid w:val="0"/>
              <w:spacing w:line="400" w:lineRule="exact"/>
              <w:ind w:right="64" w:rightChars="20"/>
              <w:jc w:val="both"/>
              <w:rPr>
                <w:rFonts w:hint="eastAsia" w:ascii="仿宋_GB2312" w:hAnsi="仿宋_GB2312" w:eastAsia="仿宋_GB2312" w:cs="仿宋_GB2312"/>
                <w:snapToGrid w:val="0"/>
                <w:color w:val="auto"/>
                <w:sz w:val="21"/>
                <w:szCs w:val="21"/>
                <w:highlight w:val="none"/>
                <w:u w:val="single"/>
                <w:lang w:eastAsia="zh-CN"/>
              </w:rPr>
            </w:pPr>
            <w:r>
              <w:rPr>
                <w:rFonts w:hint="eastAsia" w:ascii="仿宋_GB2312" w:hAnsi="仿宋_GB2312" w:eastAsia="仿宋_GB2312" w:cs="仿宋_GB2312"/>
                <w:b/>
                <w:snapToGrid w:val="0"/>
                <w:color w:val="auto"/>
                <w:kern w:val="2"/>
                <w:sz w:val="21"/>
                <w:szCs w:val="21"/>
                <w:highlight w:val="none"/>
                <w:lang w:eastAsia="zh-CN"/>
              </w:rPr>
              <w:t>注：未按分册装订要求、不采用胶装的投标文件将视作未按招标文件规定的格式编制。</w:t>
            </w:r>
          </w:p>
        </w:tc>
      </w:tr>
      <w:tr w14:paraId="17A8D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02" w:type="dxa"/>
            <w:vAlign w:val="center"/>
          </w:tcPr>
          <w:p w14:paraId="708D2FDC">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3.4.4</w:t>
            </w:r>
          </w:p>
          <w:p w14:paraId="73720713">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p>
        </w:tc>
        <w:tc>
          <w:tcPr>
            <w:tcW w:w="1911" w:type="dxa"/>
            <w:vAlign w:val="center"/>
          </w:tcPr>
          <w:p w14:paraId="7886635A">
            <w:pPr>
              <w:pStyle w:val="45"/>
              <w:adjustRightInd w:val="0"/>
              <w:snapToGrid w:val="0"/>
              <w:spacing w:line="400" w:lineRule="exact"/>
              <w:jc w:val="center"/>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投标文件签署、盖章要求</w:t>
            </w:r>
          </w:p>
        </w:tc>
        <w:tc>
          <w:tcPr>
            <w:tcW w:w="6255" w:type="dxa"/>
            <w:vAlign w:val="center"/>
          </w:tcPr>
          <w:p w14:paraId="569E72D9">
            <w:pPr>
              <w:pStyle w:val="45"/>
              <w:spacing w:line="400" w:lineRule="exact"/>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对投标文件签署、盖章的要求详见投标人须知3.4.4。</w:t>
            </w:r>
          </w:p>
        </w:tc>
      </w:tr>
      <w:tr w14:paraId="6B38F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2916FDC">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4.1.1</w:t>
            </w:r>
          </w:p>
        </w:tc>
        <w:tc>
          <w:tcPr>
            <w:tcW w:w="1911" w:type="dxa"/>
            <w:vAlign w:val="center"/>
          </w:tcPr>
          <w:p w14:paraId="607D3625">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踏勘现场</w:t>
            </w:r>
          </w:p>
        </w:tc>
        <w:tc>
          <w:tcPr>
            <w:tcW w:w="6255" w:type="dxa"/>
            <w:vAlign w:val="center"/>
          </w:tcPr>
          <w:p w14:paraId="3E930082">
            <w:pPr>
              <w:autoSpaceDE w:val="0"/>
              <w:autoSpaceDN w:val="0"/>
              <w:adjustRightInd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snapToGrid w:val="0"/>
                <w:color w:val="auto"/>
                <w:kern w:val="0"/>
                <w:sz w:val="21"/>
                <w:szCs w:val="21"/>
                <w:highlight w:val="none"/>
              </w:rPr>
              <w:t>本项目是否组织踏勘现场：</w:t>
            </w:r>
          </w:p>
          <w:p w14:paraId="2887579D">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☑不组织。投标人经招标人同意后可自行前往对项目现场和周围环境进行踏勘和了解。联系人：</w:t>
            </w:r>
            <w:r>
              <w:rPr>
                <w:rFonts w:hint="eastAsia" w:ascii="仿宋_GB2312" w:hAnsi="仿宋_GB2312" w:cs="仿宋_GB2312"/>
                <w:snapToGrid w:val="0"/>
                <w:color w:val="auto"/>
                <w:kern w:val="0"/>
                <w:sz w:val="21"/>
                <w:szCs w:val="21"/>
                <w:highlight w:val="none"/>
                <w:u w:val="single"/>
              </w:rPr>
              <w:t>华工</w:t>
            </w:r>
            <w:r>
              <w:rPr>
                <w:rFonts w:hint="eastAsia" w:ascii="仿宋_GB2312" w:hAnsi="仿宋_GB2312" w:cs="仿宋_GB2312"/>
                <w:snapToGrid w:val="0"/>
                <w:color w:val="auto"/>
                <w:kern w:val="0"/>
                <w:sz w:val="21"/>
                <w:szCs w:val="21"/>
                <w:highlight w:val="none"/>
              </w:rPr>
              <w:t>；电话：</w:t>
            </w:r>
            <w:r>
              <w:rPr>
                <w:rFonts w:hint="eastAsia" w:ascii="仿宋_GB2312" w:hAnsi="仿宋_GB2312" w:cs="仿宋_GB2312"/>
                <w:color w:val="auto"/>
                <w:spacing w:val="2"/>
                <w:sz w:val="21"/>
                <w:szCs w:val="21"/>
                <w:highlight w:val="none"/>
                <w:u w:val="single"/>
              </w:rPr>
              <w:t>0571-81997921</w:t>
            </w:r>
          </w:p>
        </w:tc>
      </w:tr>
      <w:tr w14:paraId="300AF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02" w:type="dxa"/>
            <w:vAlign w:val="center"/>
          </w:tcPr>
          <w:p w14:paraId="03ECF482">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4.2.1</w:t>
            </w:r>
          </w:p>
        </w:tc>
        <w:tc>
          <w:tcPr>
            <w:tcW w:w="1911" w:type="dxa"/>
            <w:vAlign w:val="center"/>
          </w:tcPr>
          <w:p w14:paraId="346CD3E7">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投标预备会</w:t>
            </w:r>
          </w:p>
        </w:tc>
        <w:tc>
          <w:tcPr>
            <w:tcW w:w="6255" w:type="dxa"/>
            <w:vAlign w:val="center"/>
          </w:tcPr>
          <w:p w14:paraId="4E0A12FE">
            <w:pPr>
              <w:widowControl/>
              <w:jc w:val="left"/>
              <w:rPr>
                <w:rFonts w:hint="eastAsia" w:ascii="仿宋_GB2312" w:hAnsi="仿宋_GB2312" w:cs="仿宋_GB2312"/>
                <w:color w:val="auto"/>
                <w:kern w:val="0"/>
                <w:sz w:val="21"/>
                <w:szCs w:val="21"/>
                <w:highlight w:val="none"/>
                <w:lang w:bidi="ar"/>
              </w:rPr>
            </w:pPr>
            <w:r>
              <w:rPr>
                <w:rFonts w:hint="eastAsia" w:ascii="仿宋_GB2312" w:hAnsi="仿宋_GB2312" w:cs="仿宋_GB2312"/>
                <w:color w:val="auto"/>
                <w:kern w:val="0"/>
                <w:sz w:val="21"/>
                <w:szCs w:val="21"/>
                <w:highlight w:val="none"/>
                <w:lang w:bidi="ar"/>
              </w:rPr>
              <w:t>本项目是否召开投标预备会：</w:t>
            </w:r>
          </w:p>
          <w:p w14:paraId="73877E73">
            <w:pPr>
              <w:widowControl/>
              <w:jc w:val="left"/>
              <w:rPr>
                <w:rFonts w:hint="eastAsia" w:ascii="仿宋_GB2312" w:hAnsi="仿宋_GB2312" w:cs="仿宋_GB2312"/>
                <w:snapToGrid w:val="0"/>
                <w:color w:val="auto"/>
                <w:kern w:val="0"/>
                <w:sz w:val="21"/>
                <w:szCs w:val="21"/>
                <w:highlight w:val="none"/>
                <w:u w:val="single"/>
              </w:rPr>
            </w:pPr>
            <w:r>
              <w:rPr>
                <w:rFonts w:hint="eastAsia" w:ascii="仿宋_GB2312" w:hAnsi="仿宋_GB2312" w:cs="仿宋_GB2312"/>
                <w:color w:val="auto"/>
                <w:kern w:val="0"/>
                <w:sz w:val="21"/>
                <w:szCs w:val="21"/>
                <w:highlight w:val="none"/>
                <w:lang w:bidi="ar"/>
              </w:rPr>
              <w:sym w:font="Wingdings" w:char="00FE"/>
            </w:r>
            <w:r>
              <w:rPr>
                <w:rFonts w:hint="eastAsia" w:ascii="仿宋_GB2312" w:hAnsi="仿宋_GB2312" w:cs="仿宋_GB2312"/>
                <w:color w:val="auto"/>
                <w:kern w:val="0"/>
                <w:sz w:val="21"/>
                <w:szCs w:val="21"/>
                <w:highlight w:val="none"/>
                <w:lang w:bidi="ar"/>
              </w:rPr>
              <w:t>不召开</w:t>
            </w:r>
          </w:p>
        </w:tc>
      </w:tr>
      <w:tr w14:paraId="4AA58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080358E">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4.3.1</w:t>
            </w:r>
          </w:p>
          <w:p w14:paraId="41936426">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4.3.2</w:t>
            </w:r>
          </w:p>
        </w:tc>
        <w:tc>
          <w:tcPr>
            <w:tcW w:w="1911" w:type="dxa"/>
            <w:vAlign w:val="center"/>
          </w:tcPr>
          <w:p w14:paraId="4E75DE4B">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投标保证金</w:t>
            </w:r>
          </w:p>
        </w:tc>
        <w:tc>
          <w:tcPr>
            <w:tcW w:w="6255" w:type="dxa"/>
            <w:vAlign w:val="center"/>
          </w:tcPr>
          <w:p w14:paraId="1ADDD0F2">
            <w:pPr>
              <w:widowControl/>
              <w:autoSpaceDE w:val="0"/>
              <w:autoSpaceDN w:val="0"/>
              <w:adjustRightInd w:val="0"/>
              <w:snapToGrid w:val="0"/>
              <w:spacing w:line="320" w:lineRule="exact"/>
              <w:jc w:val="left"/>
              <w:rPr>
                <w:rFonts w:hint="eastAsia" w:ascii="仿宋_GB2312" w:hAnsi="仿宋_GB2312" w:cs="仿宋_GB2312"/>
                <w:b/>
                <w:snapToGrid w:val="0"/>
                <w:color w:val="auto"/>
                <w:kern w:val="0"/>
                <w:sz w:val="21"/>
                <w:szCs w:val="21"/>
                <w:highlight w:val="none"/>
              </w:rPr>
            </w:pPr>
            <w:r>
              <w:rPr>
                <w:rFonts w:hint="eastAsia" w:ascii="仿宋_GB2312" w:hAnsi="仿宋_GB2312" w:cs="仿宋_GB2312"/>
                <w:b/>
                <w:bCs/>
                <w:color w:val="auto"/>
                <w:sz w:val="21"/>
                <w:szCs w:val="21"/>
                <w:highlight w:val="none"/>
                <w:lang w:val="zh-CN"/>
              </w:rPr>
              <w:t>本项目需要缴纳投标保证金。</w:t>
            </w:r>
            <w:r>
              <w:rPr>
                <w:rFonts w:hint="eastAsia" w:ascii="仿宋_GB2312" w:hAnsi="仿宋_GB2312" w:cs="仿宋_GB2312"/>
                <w:color w:val="auto"/>
                <w:sz w:val="21"/>
                <w:szCs w:val="21"/>
                <w:highlight w:val="none"/>
                <w:lang w:val="zh-CN"/>
              </w:rPr>
              <w:t>具体要求见招标公告。</w:t>
            </w:r>
          </w:p>
        </w:tc>
      </w:tr>
      <w:tr w14:paraId="22054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AD4DE2C">
            <w:pPr>
              <w:autoSpaceDE w:val="0"/>
              <w:autoSpaceDN w:val="0"/>
              <w:adjustRightInd w:val="0"/>
              <w:snapToGrid w:val="0"/>
              <w:spacing w:line="400" w:lineRule="exact"/>
              <w:jc w:val="center"/>
              <w:rPr>
                <w:rFonts w:hint="eastAsia" w:ascii="仿宋_GB2312" w:hAnsi="仿宋_GB2312" w:cs="仿宋_GB2312"/>
                <w:color w:val="auto"/>
                <w:kern w:val="0"/>
                <w:sz w:val="21"/>
                <w:szCs w:val="21"/>
                <w:highlight w:val="none"/>
              </w:rPr>
            </w:pPr>
            <w:r>
              <w:rPr>
                <w:rFonts w:hint="eastAsia" w:ascii="仿宋_GB2312" w:hAnsi="仿宋_GB2312" w:cs="仿宋_GB2312"/>
                <w:color w:val="auto"/>
                <w:kern w:val="0"/>
                <w:sz w:val="21"/>
                <w:szCs w:val="21"/>
                <w:highlight w:val="none"/>
              </w:rPr>
              <w:t>4.4.1</w:t>
            </w:r>
          </w:p>
        </w:tc>
        <w:tc>
          <w:tcPr>
            <w:tcW w:w="1911" w:type="dxa"/>
            <w:vAlign w:val="center"/>
          </w:tcPr>
          <w:p w14:paraId="635C22C3">
            <w:pPr>
              <w:autoSpaceDE w:val="0"/>
              <w:autoSpaceDN w:val="0"/>
              <w:adjustRightInd w:val="0"/>
              <w:snapToGrid w:val="0"/>
              <w:spacing w:line="400" w:lineRule="exact"/>
              <w:jc w:val="center"/>
              <w:rPr>
                <w:rFonts w:hint="eastAsia" w:ascii="仿宋_GB2312" w:hAnsi="仿宋_GB2312" w:cs="仿宋_GB2312"/>
                <w:color w:val="auto"/>
                <w:kern w:val="0"/>
                <w:sz w:val="21"/>
                <w:szCs w:val="21"/>
                <w:highlight w:val="none"/>
              </w:rPr>
            </w:pPr>
            <w:r>
              <w:rPr>
                <w:rFonts w:hint="eastAsia" w:ascii="仿宋_GB2312" w:hAnsi="仿宋_GB2312" w:cs="仿宋_GB2312"/>
                <w:color w:val="auto"/>
                <w:kern w:val="0"/>
                <w:sz w:val="21"/>
                <w:szCs w:val="21"/>
                <w:highlight w:val="none"/>
              </w:rPr>
              <w:t>投标样品</w:t>
            </w:r>
          </w:p>
        </w:tc>
        <w:tc>
          <w:tcPr>
            <w:tcW w:w="6255" w:type="dxa"/>
            <w:vAlign w:val="center"/>
          </w:tcPr>
          <w:p w14:paraId="60AE7871">
            <w:pPr>
              <w:widowControl/>
              <w:autoSpaceDE w:val="0"/>
              <w:autoSpaceDN w:val="0"/>
              <w:adjustRightInd w:val="0"/>
              <w:snapToGrid w:val="0"/>
              <w:spacing w:line="320" w:lineRule="exact"/>
              <w:jc w:val="left"/>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本项目有无要求投标人提供样品：</w:t>
            </w:r>
          </w:p>
          <w:p w14:paraId="204F6C95">
            <w:pPr>
              <w:widowControl/>
              <w:autoSpaceDE w:val="0"/>
              <w:autoSpaceDN w:val="0"/>
              <w:adjustRightInd w:val="0"/>
              <w:snapToGrid w:val="0"/>
              <w:spacing w:line="320" w:lineRule="exact"/>
              <w:ind w:firstLine="210" w:firstLineChars="100"/>
              <w:jc w:val="left"/>
              <w:rPr>
                <w:rFonts w:hint="eastAsia" w:ascii="仿宋_GB2312" w:hAnsi="仿宋_GB2312" w:cs="仿宋_GB2312"/>
                <w:b/>
                <w:color w:val="auto"/>
                <w:sz w:val="21"/>
                <w:szCs w:val="21"/>
                <w:highlight w:val="none"/>
              </w:rPr>
            </w:pPr>
            <w:r>
              <w:rPr>
                <w:rFonts w:hint="eastAsia" w:ascii="仿宋_GB2312" w:hAnsi="仿宋_GB2312" w:cs="仿宋_GB2312"/>
                <w:color w:val="auto"/>
                <w:sz w:val="21"/>
                <w:szCs w:val="21"/>
                <w:highlight w:val="none"/>
              </w:rPr>
              <w:t xml:space="preserve"> ☑无  </w:t>
            </w:r>
          </w:p>
        </w:tc>
      </w:tr>
      <w:tr w14:paraId="6F48D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FB47AD5">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4.5.1</w:t>
            </w:r>
          </w:p>
        </w:tc>
        <w:tc>
          <w:tcPr>
            <w:tcW w:w="1911" w:type="dxa"/>
            <w:vAlign w:val="center"/>
          </w:tcPr>
          <w:p w14:paraId="09D91FB0">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投标文件密封包装要求</w:t>
            </w:r>
          </w:p>
        </w:tc>
        <w:tc>
          <w:tcPr>
            <w:tcW w:w="6255" w:type="dxa"/>
            <w:vAlign w:val="center"/>
          </w:tcPr>
          <w:p w14:paraId="69A16266">
            <w:pPr>
              <w:pStyle w:val="24"/>
              <w:spacing w:after="0" w:line="400" w:lineRule="exact"/>
              <w:ind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snapToGrid w:val="0"/>
                <w:color w:val="auto"/>
                <w:highlight w:val="none"/>
              </w:rPr>
              <w:t>对投标文件密封包装的要求详见投标人须知第4.5。</w:t>
            </w:r>
          </w:p>
        </w:tc>
      </w:tr>
      <w:tr w14:paraId="0629C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965D69B">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4.5.2</w:t>
            </w:r>
          </w:p>
        </w:tc>
        <w:tc>
          <w:tcPr>
            <w:tcW w:w="1911" w:type="dxa"/>
            <w:vAlign w:val="center"/>
          </w:tcPr>
          <w:p w14:paraId="32E6DC30">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封套上写明</w:t>
            </w:r>
          </w:p>
        </w:tc>
        <w:tc>
          <w:tcPr>
            <w:tcW w:w="6255" w:type="dxa"/>
            <w:vAlign w:val="center"/>
          </w:tcPr>
          <w:p w14:paraId="5D99FC25">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rPr>
            </w:pPr>
            <w:bookmarkStart w:id="6" w:name="OLE_LINK1"/>
            <w:r>
              <w:rPr>
                <w:rFonts w:hint="eastAsia" w:ascii="仿宋_GB2312" w:hAnsi="仿宋_GB2312" w:cs="仿宋_GB2312"/>
                <w:snapToGrid w:val="0"/>
                <w:color w:val="auto"/>
                <w:kern w:val="0"/>
                <w:sz w:val="21"/>
                <w:szCs w:val="21"/>
                <w:highlight w:val="none"/>
                <w:u w:val="single"/>
              </w:rPr>
              <w:t xml:space="preserve">         （项目名称）         </w:t>
            </w:r>
            <w:r>
              <w:rPr>
                <w:rFonts w:hint="eastAsia" w:ascii="仿宋_GB2312" w:hAnsi="仿宋_GB2312" w:cs="仿宋_GB2312"/>
                <w:snapToGrid w:val="0"/>
                <w:color w:val="auto"/>
                <w:kern w:val="0"/>
                <w:sz w:val="21"/>
                <w:szCs w:val="21"/>
                <w:highlight w:val="none"/>
              </w:rPr>
              <w:t>投标文件</w:t>
            </w:r>
          </w:p>
          <w:p w14:paraId="776B080E">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在</w:t>
            </w:r>
            <w:r>
              <w:rPr>
                <w:rFonts w:hint="eastAsia" w:ascii="仿宋_GB2312" w:hAnsi="仿宋_GB2312" w:cs="仿宋_GB2312"/>
                <w:snapToGrid w:val="0"/>
                <w:color w:val="auto"/>
                <w:kern w:val="0"/>
                <w:sz w:val="21"/>
                <w:szCs w:val="21"/>
                <w:highlight w:val="none"/>
                <w:u w:val="single"/>
              </w:rPr>
              <w:t xml:space="preserve">     </w:t>
            </w:r>
            <w:r>
              <w:rPr>
                <w:rFonts w:hint="eastAsia" w:ascii="仿宋_GB2312" w:hAnsi="仿宋_GB2312" w:cs="仿宋_GB2312"/>
                <w:snapToGrid w:val="0"/>
                <w:color w:val="auto"/>
                <w:kern w:val="0"/>
                <w:sz w:val="21"/>
                <w:szCs w:val="21"/>
                <w:highlight w:val="none"/>
              </w:rPr>
              <w:t>年</w:t>
            </w:r>
            <w:r>
              <w:rPr>
                <w:rFonts w:hint="eastAsia" w:ascii="仿宋_GB2312" w:hAnsi="仿宋_GB2312" w:cs="仿宋_GB2312"/>
                <w:snapToGrid w:val="0"/>
                <w:color w:val="auto"/>
                <w:kern w:val="0"/>
                <w:sz w:val="21"/>
                <w:szCs w:val="21"/>
                <w:highlight w:val="none"/>
                <w:u w:val="single"/>
              </w:rPr>
              <w:t xml:space="preserve">  </w:t>
            </w:r>
            <w:r>
              <w:rPr>
                <w:rFonts w:hint="eastAsia" w:ascii="仿宋_GB2312" w:hAnsi="仿宋_GB2312" w:cs="仿宋_GB2312"/>
                <w:snapToGrid w:val="0"/>
                <w:color w:val="auto"/>
                <w:kern w:val="0"/>
                <w:sz w:val="21"/>
                <w:szCs w:val="21"/>
                <w:highlight w:val="none"/>
              </w:rPr>
              <w:t>月</w:t>
            </w:r>
            <w:r>
              <w:rPr>
                <w:rFonts w:hint="eastAsia" w:ascii="仿宋_GB2312" w:hAnsi="仿宋_GB2312" w:cs="仿宋_GB2312"/>
                <w:snapToGrid w:val="0"/>
                <w:color w:val="auto"/>
                <w:kern w:val="0"/>
                <w:sz w:val="21"/>
                <w:szCs w:val="21"/>
                <w:highlight w:val="none"/>
                <w:u w:val="single"/>
              </w:rPr>
              <w:t xml:space="preserve">  </w:t>
            </w:r>
            <w:r>
              <w:rPr>
                <w:rFonts w:hint="eastAsia" w:ascii="仿宋_GB2312" w:hAnsi="仿宋_GB2312" w:cs="仿宋_GB2312"/>
                <w:snapToGrid w:val="0"/>
                <w:color w:val="auto"/>
                <w:kern w:val="0"/>
                <w:sz w:val="21"/>
                <w:szCs w:val="21"/>
                <w:highlight w:val="none"/>
              </w:rPr>
              <w:t>日</w:t>
            </w:r>
            <w:r>
              <w:rPr>
                <w:rFonts w:hint="eastAsia" w:ascii="仿宋_GB2312" w:hAnsi="仿宋_GB2312" w:cs="仿宋_GB2312"/>
                <w:snapToGrid w:val="0"/>
                <w:color w:val="auto"/>
                <w:kern w:val="0"/>
                <w:sz w:val="21"/>
                <w:szCs w:val="21"/>
                <w:highlight w:val="none"/>
                <w:u w:val="single"/>
              </w:rPr>
              <w:t xml:space="preserve">  </w:t>
            </w:r>
            <w:r>
              <w:rPr>
                <w:rFonts w:hint="eastAsia" w:ascii="仿宋_GB2312" w:hAnsi="仿宋_GB2312" w:cs="仿宋_GB2312"/>
                <w:snapToGrid w:val="0"/>
                <w:color w:val="auto"/>
                <w:kern w:val="0"/>
                <w:sz w:val="21"/>
                <w:szCs w:val="21"/>
                <w:highlight w:val="none"/>
              </w:rPr>
              <w:t>时</w:t>
            </w:r>
            <w:r>
              <w:rPr>
                <w:rFonts w:hint="eastAsia" w:ascii="仿宋_GB2312" w:hAnsi="仿宋_GB2312" w:cs="仿宋_GB2312"/>
                <w:snapToGrid w:val="0"/>
                <w:color w:val="auto"/>
                <w:kern w:val="0"/>
                <w:sz w:val="21"/>
                <w:szCs w:val="21"/>
                <w:highlight w:val="none"/>
                <w:u w:val="single"/>
              </w:rPr>
              <w:t xml:space="preserve">   </w:t>
            </w:r>
            <w:r>
              <w:rPr>
                <w:rFonts w:hint="eastAsia" w:ascii="仿宋_GB2312" w:hAnsi="仿宋_GB2312" w:cs="仿宋_GB2312"/>
                <w:snapToGrid w:val="0"/>
                <w:color w:val="auto"/>
                <w:kern w:val="0"/>
                <w:sz w:val="21"/>
                <w:szCs w:val="21"/>
                <w:highlight w:val="none"/>
              </w:rPr>
              <w:t>分（即开标时间）前不得开启。</w:t>
            </w:r>
          </w:p>
          <w:p w14:paraId="60210183">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u w:val="single"/>
              </w:rPr>
            </w:pPr>
            <w:r>
              <w:rPr>
                <w:rFonts w:hint="eastAsia" w:ascii="仿宋_GB2312" w:hAnsi="仿宋_GB2312" w:cs="仿宋_GB2312"/>
                <w:snapToGrid w:val="0"/>
                <w:color w:val="auto"/>
                <w:kern w:val="0"/>
                <w:sz w:val="21"/>
                <w:szCs w:val="21"/>
                <w:highlight w:val="none"/>
              </w:rPr>
              <w:t>投标人名称：</w:t>
            </w:r>
            <w:r>
              <w:rPr>
                <w:rFonts w:hint="eastAsia" w:ascii="仿宋_GB2312" w:hAnsi="仿宋_GB2312" w:cs="仿宋_GB2312"/>
                <w:snapToGrid w:val="0"/>
                <w:color w:val="auto"/>
                <w:kern w:val="0"/>
                <w:sz w:val="21"/>
                <w:szCs w:val="21"/>
                <w:highlight w:val="none"/>
                <w:u w:val="single"/>
              </w:rPr>
              <w:t xml:space="preserve">                       </w:t>
            </w:r>
          </w:p>
          <w:p w14:paraId="6D43E550">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投标人地址：</w:t>
            </w:r>
            <w:r>
              <w:rPr>
                <w:rFonts w:hint="eastAsia" w:ascii="仿宋_GB2312" w:hAnsi="仿宋_GB2312" w:cs="仿宋_GB2312"/>
                <w:snapToGrid w:val="0"/>
                <w:color w:val="auto"/>
                <w:kern w:val="0"/>
                <w:sz w:val="21"/>
                <w:szCs w:val="21"/>
                <w:highlight w:val="none"/>
                <w:u w:val="single"/>
              </w:rPr>
              <w:t xml:space="preserve">                         </w:t>
            </w:r>
          </w:p>
          <w:p w14:paraId="60C12F63">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联 系 人：</w:t>
            </w:r>
            <w:r>
              <w:rPr>
                <w:rFonts w:hint="eastAsia" w:ascii="仿宋_GB2312" w:hAnsi="仿宋_GB2312" w:cs="仿宋_GB2312"/>
                <w:snapToGrid w:val="0"/>
                <w:color w:val="auto"/>
                <w:kern w:val="0"/>
                <w:sz w:val="21"/>
                <w:szCs w:val="21"/>
                <w:highlight w:val="none"/>
                <w:u w:val="single"/>
              </w:rPr>
              <w:t xml:space="preserve">          </w:t>
            </w:r>
          </w:p>
          <w:p w14:paraId="6E43D695">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u w:val="single"/>
              </w:rPr>
            </w:pPr>
            <w:r>
              <w:rPr>
                <w:rFonts w:hint="eastAsia" w:ascii="仿宋_GB2312" w:hAnsi="仿宋_GB2312" w:cs="仿宋_GB2312"/>
                <w:snapToGrid w:val="0"/>
                <w:color w:val="auto"/>
                <w:kern w:val="0"/>
                <w:sz w:val="21"/>
                <w:szCs w:val="21"/>
                <w:highlight w:val="none"/>
              </w:rPr>
              <w:t>手机号码：</w:t>
            </w:r>
            <w:r>
              <w:rPr>
                <w:rFonts w:hint="eastAsia" w:ascii="仿宋_GB2312" w:hAnsi="仿宋_GB2312" w:cs="仿宋_GB2312"/>
                <w:snapToGrid w:val="0"/>
                <w:color w:val="auto"/>
                <w:kern w:val="0"/>
                <w:sz w:val="21"/>
                <w:szCs w:val="21"/>
                <w:highlight w:val="none"/>
                <w:u w:val="single"/>
              </w:rPr>
              <w:t xml:space="preserve">          </w:t>
            </w:r>
          </w:p>
          <w:p w14:paraId="3B8C085E">
            <w:pPr>
              <w:autoSpaceDE w:val="0"/>
              <w:autoSpaceDN w:val="0"/>
              <w:adjustRightInd w:val="0"/>
              <w:snapToGrid w:val="0"/>
              <w:spacing w:line="32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电子邮箱：</w:t>
            </w:r>
            <w:r>
              <w:rPr>
                <w:rFonts w:hint="eastAsia" w:ascii="仿宋_GB2312" w:hAnsi="仿宋_GB2312" w:cs="仿宋_GB2312"/>
                <w:snapToGrid w:val="0"/>
                <w:color w:val="auto"/>
                <w:kern w:val="0"/>
                <w:sz w:val="21"/>
                <w:szCs w:val="21"/>
                <w:highlight w:val="none"/>
                <w:u w:val="single"/>
              </w:rPr>
              <w:t xml:space="preserve">          </w:t>
            </w:r>
            <w:bookmarkEnd w:id="6"/>
          </w:p>
        </w:tc>
      </w:tr>
      <w:tr w14:paraId="349A9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C336EE6">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4.7.1</w:t>
            </w:r>
          </w:p>
        </w:tc>
        <w:tc>
          <w:tcPr>
            <w:tcW w:w="1911" w:type="dxa"/>
            <w:vAlign w:val="center"/>
          </w:tcPr>
          <w:p w14:paraId="2C322813">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投标文件递交</w:t>
            </w:r>
          </w:p>
        </w:tc>
        <w:tc>
          <w:tcPr>
            <w:tcW w:w="6255" w:type="dxa"/>
            <w:vAlign w:val="center"/>
          </w:tcPr>
          <w:p w14:paraId="1B38356D">
            <w:pPr>
              <w:wordWrap w:val="0"/>
              <w:spacing w:line="400" w:lineRule="exact"/>
              <w:ind w:right="62"/>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文件递交地点：见招标公告。</w:t>
            </w:r>
          </w:p>
          <w:p w14:paraId="566645E0">
            <w:pPr>
              <w:wordWrap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文件递交方式：采用以下第</w:t>
            </w:r>
            <w:r>
              <w:rPr>
                <w:rFonts w:hint="eastAsia" w:ascii="仿宋_GB2312" w:hAnsi="仿宋_GB2312" w:cs="仿宋_GB2312"/>
                <w:snapToGrid w:val="0"/>
                <w:color w:val="auto"/>
                <w:kern w:val="0"/>
                <w:sz w:val="21"/>
                <w:szCs w:val="21"/>
                <w:highlight w:val="none"/>
                <w:u w:val="single"/>
              </w:rPr>
              <w:t xml:space="preserve">  </w:t>
            </w:r>
            <w:r>
              <w:rPr>
                <w:rFonts w:hint="eastAsia" w:ascii="仿宋_GB2312" w:hAnsi="仿宋_GB2312" w:cs="仿宋_GB2312"/>
                <w:snapToGrid w:val="0"/>
                <w:color w:val="auto"/>
                <w:kern w:val="0"/>
                <w:sz w:val="21"/>
                <w:szCs w:val="21"/>
                <w:highlight w:val="none"/>
                <w:u w:val="single"/>
              </w:rPr>
              <w:fldChar w:fldCharType="begin"/>
            </w:r>
            <w:r>
              <w:rPr>
                <w:rFonts w:hint="eastAsia" w:ascii="仿宋_GB2312" w:hAnsi="仿宋_GB2312" w:cs="仿宋_GB2312"/>
                <w:snapToGrid w:val="0"/>
                <w:color w:val="auto"/>
                <w:kern w:val="0"/>
                <w:sz w:val="21"/>
                <w:szCs w:val="21"/>
                <w:highlight w:val="none"/>
                <w:u w:val="single"/>
              </w:rPr>
              <w:instrText xml:space="preserve"> = 1 \* GB3 \* MERGEFORMAT </w:instrText>
            </w:r>
            <w:r>
              <w:rPr>
                <w:rFonts w:hint="eastAsia" w:ascii="仿宋_GB2312" w:hAnsi="仿宋_GB2312" w:cs="仿宋_GB2312"/>
                <w:snapToGrid w:val="0"/>
                <w:color w:val="auto"/>
                <w:kern w:val="0"/>
                <w:sz w:val="21"/>
                <w:szCs w:val="21"/>
                <w:highlight w:val="none"/>
                <w:u w:val="single"/>
              </w:rPr>
              <w:fldChar w:fldCharType="separate"/>
            </w:r>
            <w:r>
              <w:rPr>
                <w:rFonts w:hint="eastAsia" w:ascii="仿宋_GB2312" w:hAnsi="仿宋_GB2312" w:cs="仿宋_GB2312"/>
                <w:snapToGrid w:val="0"/>
                <w:color w:val="auto"/>
                <w:kern w:val="0"/>
                <w:sz w:val="21"/>
                <w:szCs w:val="21"/>
                <w:highlight w:val="none"/>
                <w:u w:val="single"/>
              </w:rPr>
              <w:t>①</w:t>
            </w:r>
            <w:r>
              <w:rPr>
                <w:rFonts w:hint="eastAsia" w:ascii="仿宋_GB2312" w:hAnsi="仿宋_GB2312" w:cs="仿宋_GB2312"/>
                <w:snapToGrid w:val="0"/>
                <w:color w:val="auto"/>
                <w:kern w:val="0"/>
                <w:sz w:val="21"/>
                <w:szCs w:val="21"/>
                <w:highlight w:val="none"/>
                <w:u w:val="single"/>
              </w:rPr>
              <w:fldChar w:fldCharType="end"/>
            </w:r>
            <w:r>
              <w:rPr>
                <w:rFonts w:hint="eastAsia" w:ascii="仿宋_GB2312" w:hAnsi="仿宋_GB2312" w:cs="仿宋_GB2312"/>
                <w:snapToGrid w:val="0"/>
                <w:color w:val="auto"/>
                <w:kern w:val="0"/>
                <w:sz w:val="21"/>
                <w:szCs w:val="21"/>
                <w:highlight w:val="none"/>
                <w:u w:val="single"/>
              </w:rPr>
              <w:t xml:space="preserve">  </w:t>
            </w:r>
            <w:r>
              <w:rPr>
                <w:rFonts w:hint="eastAsia" w:ascii="仿宋_GB2312" w:hAnsi="仿宋_GB2312" w:cs="仿宋_GB2312"/>
                <w:snapToGrid w:val="0"/>
                <w:color w:val="auto"/>
                <w:kern w:val="0"/>
                <w:sz w:val="21"/>
                <w:szCs w:val="21"/>
                <w:highlight w:val="none"/>
              </w:rPr>
              <w:t>种方式。</w:t>
            </w:r>
          </w:p>
          <w:p w14:paraId="2C9393D1">
            <w:pPr>
              <w:wordWrap w:val="0"/>
              <w:spacing w:line="400" w:lineRule="exact"/>
              <w:rPr>
                <w:rFonts w:hint="eastAsia" w:ascii="仿宋_GB2312" w:hAnsi="仿宋_GB2312" w:cs="仿宋_GB2312"/>
                <w:b/>
                <w:color w:val="auto"/>
                <w:sz w:val="21"/>
                <w:szCs w:val="21"/>
                <w:highlight w:val="none"/>
              </w:rPr>
            </w:pPr>
            <w:r>
              <w:rPr>
                <w:rFonts w:hint="eastAsia" w:ascii="仿宋_GB2312" w:hAnsi="仿宋_GB2312" w:cs="仿宋_GB2312"/>
                <w:snapToGrid w:val="0"/>
                <w:color w:val="auto"/>
                <w:kern w:val="0"/>
                <w:sz w:val="21"/>
                <w:szCs w:val="21"/>
                <w:highlight w:val="none"/>
              </w:rPr>
              <w:fldChar w:fldCharType="begin"/>
            </w:r>
            <w:r>
              <w:rPr>
                <w:rFonts w:hint="eastAsia" w:ascii="仿宋_GB2312" w:hAnsi="仿宋_GB2312" w:cs="仿宋_GB2312"/>
                <w:snapToGrid w:val="0"/>
                <w:color w:val="auto"/>
                <w:kern w:val="0"/>
                <w:sz w:val="21"/>
                <w:szCs w:val="21"/>
                <w:highlight w:val="none"/>
              </w:rPr>
              <w:instrText xml:space="preserve"> = 1 \* GB3 \* MERGEFORMAT </w:instrText>
            </w:r>
            <w:r>
              <w:rPr>
                <w:rFonts w:hint="eastAsia" w:ascii="仿宋_GB2312" w:hAnsi="仿宋_GB2312" w:cs="仿宋_GB2312"/>
                <w:snapToGrid w:val="0"/>
                <w:color w:val="auto"/>
                <w:kern w:val="0"/>
                <w:sz w:val="21"/>
                <w:szCs w:val="21"/>
                <w:highlight w:val="none"/>
              </w:rPr>
              <w:fldChar w:fldCharType="separate"/>
            </w:r>
            <w:r>
              <w:rPr>
                <w:rFonts w:hint="eastAsia" w:ascii="仿宋_GB2312" w:hAnsi="仿宋_GB2312" w:cs="仿宋_GB2312"/>
                <w:snapToGrid w:val="0"/>
                <w:color w:val="auto"/>
                <w:kern w:val="0"/>
                <w:sz w:val="21"/>
                <w:szCs w:val="21"/>
                <w:highlight w:val="none"/>
              </w:rPr>
              <w:t>①</w:t>
            </w:r>
            <w:r>
              <w:rPr>
                <w:rFonts w:hint="eastAsia" w:ascii="仿宋_GB2312" w:hAnsi="仿宋_GB2312" w:cs="仿宋_GB2312"/>
                <w:snapToGrid w:val="0"/>
                <w:color w:val="auto"/>
                <w:kern w:val="0"/>
                <w:sz w:val="21"/>
                <w:szCs w:val="21"/>
                <w:highlight w:val="none"/>
              </w:rPr>
              <w:fldChar w:fldCharType="end"/>
            </w:r>
            <w:r>
              <w:rPr>
                <w:rFonts w:hint="eastAsia" w:ascii="仿宋_GB2312" w:hAnsi="仿宋_GB2312" w:cs="仿宋_GB2312"/>
                <w:snapToGrid w:val="0"/>
                <w:color w:val="auto"/>
                <w:kern w:val="0"/>
                <w:sz w:val="21"/>
                <w:szCs w:val="21"/>
                <w:highlight w:val="none"/>
              </w:rPr>
              <w:t>开标现场递交，各投标人法定代表人或其委托代理人对投标文件的递交记录情况进行签字确认。开标现场：</w:t>
            </w:r>
            <w:r>
              <w:rPr>
                <w:rFonts w:hint="eastAsia" w:ascii="仿宋_GB2312" w:hAnsi="仿宋_GB2312" w:cs="仿宋_GB2312"/>
                <w:snapToGrid w:val="0"/>
                <w:color w:val="auto"/>
                <w:kern w:val="0"/>
                <w:sz w:val="21"/>
                <w:szCs w:val="21"/>
                <w:highlight w:val="none"/>
                <w:u w:val="single"/>
              </w:rPr>
              <w:t xml:space="preserve">  见招标公告    </w:t>
            </w:r>
            <w:r>
              <w:rPr>
                <w:rFonts w:hint="eastAsia" w:ascii="仿宋_GB2312" w:hAnsi="仿宋_GB2312" w:cs="仿宋_GB2312"/>
                <w:snapToGrid w:val="0"/>
                <w:color w:val="auto"/>
                <w:kern w:val="0"/>
                <w:sz w:val="21"/>
                <w:szCs w:val="21"/>
                <w:highlight w:val="none"/>
              </w:rPr>
              <w:t>。</w:t>
            </w:r>
          </w:p>
        </w:tc>
      </w:tr>
      <w:tr w14:paraId="6B54A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902FA9E">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4.7.4</w:t>
            </w:r>
          </w:p>
        </w:tc>
        <w:tc>
          <w:tcPr>
            <w:tcW w:w="1911" w:type="dxa"/>
            <w:vAlign w:val="center"/>
          </w:tcPr>
          <w:p w14:paraId="7255508B">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投标截止时间</w:t>
            </w:r>
          </w:p>
        </w:tc>
        <w:tc>
          <w:tcPr>
            <w:tcW w:w="6255" w:type="dxa"/>
            <w:vAlign w:val="center"/>
          </w:tcPr>
          <w:p w14:paraId="4DFFD9D5">
            <w:pPr>
              <w:autoSpaceDE w:val="0"/>
              <w:autoSpaceDN w:val="0"/>
              <w:adjustRightInd w:val="0"/>
              <w:snapToGrid w:val="0"/>
              <w:spacing w:line="400" w:lineRule="exact"/>
              <w:ind w:firstLine="210" w:firstLineChars="100"/>
              <w:rPr>
                <w:rFonts w:hint="eastAsia" w:ascii="仿宋_GB2312" w:hAnsi="仿宋_GB2312" w:cs="仿宋_GB2312"/>
                <w:b/>
                <w:color w:val="auto"/>
                <w:sz w:val="21"/>
                <w:szCs w:val="21"/>
                <w:highlight w:val="none"/>
              </w:rPr>
            </w:pPr>
            <w:r>
              <w:rPr>
                <w:rFonts w:hint="eastAsia" w:ascii="仿宋_GB2312" w:hAnsi="仿宋_GB2312" w:cs="仿宋_GB2312"/>
                <w:snapToGrid w:val="0"/>
                <w:color w:val="auto"/>
                <w:kern w:val="0"/>
                <w:sz w:val="21"/>
                <w:szCs w:val="21"/>
                <w:highlight w:val="none"/>
              </w:rPr>
              <w:t>详见招标公告</w:t>
            </w:r>
          </w:p>
        </w:tc>
      </w:tr>
      <w:tr w14:paraId="4BC2B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2A480A03">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4.8.1</w:t>
            </w:r>
          </w:p>
        </w:tc>
        <w:tc>
          <w:tcPr>
            <w:tcW w:w="1911" w:type="dxa"/>
            <w:vAlign w:val="center"/>
          </w:tcPr>
          <w:p w14:paraId="28B4F1A1">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投标有效期</w:t>
            </w:r>
          </w:p>
        </w:tc>
        <w:tc>
          <w:tcPr>
            <w:tcW w:w="6255" w:type="dxa"/>
            <w:vAlign w:val="center"/>
          </w:tcPr>
          <w:p w14:paraId="40A66D7A">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color w:val="auto"/>
                <w:kern w:val="0"/>
                <w:sz w:val="21"/>
                <w:szCs w:val="21"/>
                <w:highlight w:val="none"/>
                <w:u w:val="single"/>
              </w:rPr>
              <w:t>90</w:t>
            </w:r>
            <w:r>
              <w:rPr>
                <w:rFonts w:hint="eastAsia" w:ascii="仿宋_GB2312" w:hAnsi="仿宋_GB2312" w:cs="仿宋_GB2312"/>
                <w:snapToGrid w:val="0"/>
                <w:color w:val="auto"/>
                <w:kern w:val="0"/>
                <w:sz w:val="21"/>
                <w:szCs w:val="21"/>
                <w:highlight w:val="none"/>
              </w:rPr>
              <w:t>日历天（从投标截止之日算起）</w:t>
            </w:r>
          </w:p>
        </w:tc>
      </w:tr>
      <w:tr w14:paraId="29B78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9451D8D">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5.1.1</w:t>
            </w:r>
          </w:p>
        </w:tc>
        <w:tc>
          <w:tcPr>
            <w:tcW w:w="1911" w:type="dxa"/>
            <w:vAlign w:val="center"/>
          </w:tcPr>
          <w:p w14:paraId="3B8B6A49">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开标时间和地点</w:t>
            </w:r>
          </w:p>
        </w:tc>
        <w:tc>
          <w:tcPr>
            <w:tcW w:w="6255" w:type="dxa"/>
            <w:vAlign w:val="center"/>
          </w:tcPr>
          <w:p w14:paraId="6E7957F8">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开标时间：同投标截止时间。</w:t>
            </w:r>
          </w:p>
          <w:p w14:paraId="4030C30C">
            <w:pPr>
              <w:autoSpaceDE w:val="0"/>
              <w:autoSpaceDN w:val="0"/>
              <w:adjustRightInd w:val="0"/>
              <w:snapToGrid w:val="0"/>
              <w:spacing w:line="400" w:lineRule="exact"/>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开标地点：同投标文件递交地点。</w:t>
            </w:r>
          </w:p>
        </w:tc>
      </w:tr>
      <w:tr w14:paraId="14269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13F08B3">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5.2.1</w:t>
            </w:r>
          </w:p>
        </w:tc>
        <w:tc>
          <w:tcPr>
            <w:tcW w:w="1911" w:type="dxa"/>
            <w:vAlign w:val="center"/>
          </w:tcPr>
          <w:p w14:paraId="6A3D79E4">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开标时</w:t>
            </w:r>
          </w:p>
          <w:p w14:paraId="537A08E1">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应携带的资料</w:t>
            </w:r>
          </w:p>
        </w:tc>
        <w:tc>
          <w:tcPr>
            <w:tcW w:w="6255" w:type="dxa"/>
            <w:vAlign w:val="center"/>
          </w:tcPr>
          <w:p w14:paraId="0BB37802">
            <w:pPr>
              <w:autoSpaceDE w:val="0"/>
              <w:autoSpaceDN w:val="0"/>
              <w:adjustRightInd w:val="0"/>
              <w:snapToGrid w:val="0"/>
              <w:spacing w:line="312" w:lineRule="auto"/>
              <w:jc w:val="left"/>
              <w:rPr>
                <w:rFonts w:hint="eastAsia" w:ascii="仿宋_GB2312" w:hAnsi="仿宋_GB2312" w:cs="仿宋_GB2312"/>
                <w:color w:val="auto"/>
                <w:sz w:val="21"/>
                <w:szCs w:val="21"/>
                <w:highlight w:val="none"/>
              </w:rPr>
            </w:pPr>
            <w:r>
              <w:rPr>
                <w:rFonts w:hint="eastAsia" w:ascii="仿宋_GB2312" w:hAnsi="仿宋_GB2312" w:cs="仿宋_GB2312"/>
                <w:b/>
                <w:bCs/>
                <w:color w:val="auto"/>
                <w:sz w:val="21"/>
                <w:szCs w:val="21"/>
                <w:highlight w:val="none"/>
              </w:rPr>
              <w:t>参加开标的投标人法定代表人或其委托代理人必须携带本人身份证（或驾驶证或公安机关出具的临时身份证明或港澳台胞证或护照）原件（其他诸如市民卡等无效）、法定代表人身份证明</w:t>
            </w:r>
            <w:r>
              <w:rPr>
                <w:rFonts w:hint="eastAsia" w:ascii="仿宋_GB2312" w:hAnsi="仿宋_GB2312" w:cs="仿宋_GB2312"/>
                <w:color w:val="auto"/>
                <w:sz w:val="21"/>
                <w:szCs w:val="21"/>
                <w:highlight w:val="none"/>
              </w:rPr>
              <w:t>（详见第五章“投标文件格式”，委托代理人还须提供授权委托书）原件，</w:t>
            </w:r>
          </w:p>
          <w:p w14:paraId="7F0F9726">
            <w:pPr>
              <w:autoSpaceDE w:val="0"/>
              <w:autoSpaceDN w:val="0"/>
              <w:adjustRightInd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snapToGrid w:val="0"/>
                <w:color w:val="auto"/>
                <w:kern w:val="0"/>
                <w:sz w:val="21"/>
                <w:szCs w:val="21"/>
                <w:highlight w:val="none"/>
              </w:rPr>
              <w:t>注：投标文件递交有效（</w:t>
            </w:r>
            <w:r>
              <w:rPr>
                <w:rFonts w:hint="eastAsia" w:ascii="仿宋_GB2312" w:hAnsi="仿宋_GB2312" w:cs="仿宋_GB2312"/>
                <w:color w:val="auto"/>
                <w:sz w:val="21"/>
                <w:szCs w:val="21"/>
                <w:highlight w:val="none"/>
              </w:rPr>
              <w:t>投标文件递交有效性以纸质投标文件递交时间为准，下同</w:t>
            </w:r>
            <w:r>
              <w:rPr>
                <w:rFonts w:hint="eastAsia" w:ascii="仿宋_GB2312" w:hAnsi="仿宋_GB2312" w:cs="仿宋_GB2312"/>
                <w:snapToGrid w:val="0"/>
                <w:color w:val="auto"/>
                <w:kern w:val="0"/>
                <w:sz w:val="21"/>
                <w:szCs w:val="21"/>
                <w:highlight w:val="none"/>
              </w:rPr>
              <w:t>），而</w:t>
            </w:r>
            <w:r>
              <w:rPr>
                <w:rFonts w:hint="eastAsia" w:ascii="仿宋_GB2312" w:hAnsi="仿宋_GB2312" w:cs="仿宋_GB2312"/>
                <w:color w:val="auto"/>
                <w:sz w:val="21"/>
                <w:szCs w:val="21"/>
                <w:highlight w:val="none"/>
              </w:rPr>
              <w:t>投标人法定代表人或其委托代理人未能参加开标或未能携带上述资料的，视同其未参加开标，不得对开标提出异议，并进行开标异常情况登记，不影响开标结果，也不作为否决其投标的评审因素。</w:t>
            </w:r>
          </w:p>
        </w:tc>
      </w:tr>
      <w:tr w14:paraId="24526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763A73C">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5.3.1</w:t>
            </w:r>
          </w:p>
        </w:tc>
        <w:tc>
          <w:tcPr>
            <w:tcW w:w="1911" w:type="dxa"/>
            <w:vAlign w:val="center"/>
          </w:tcPr>
          <w:p w14:paraId="351371C7">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开标顺序</w:t>
            </w:r>
          </w:p>
        </w:tc>
        <w:tc>
          <w:tcPr>
            <w:tcW w:w="6255" w:type="dxa"/>
            <w:vAlign w:val="center"/>
          </w:tcPr>
          <w:p w14:paraId="4600B5FC">
            <w:pPr>
              <w:autoSpaceDE w:val="0"/>
              <w:autoSpaceDN w:val="0"/>
              <w:adjustRightInd w:val="0"/>
              <w:snapToGrid w:val="0"/>
              <w:spacing w:line="400" w:lineRule="exact"/>
              <w:jc w:val="left"/>
              <w:rPr>
                <w:rFonts w:hint="eastAsia" w:ascii="仿宋_GB2312" w:hAnsi="仿宋_GB2312" w:cs="仿宋_GB2312"/>
                <w:color w:val="auto"/>
                <w:kern w:val="0"/>
                <w:sz w:val="21"/>
                <w:szCs w:val="21"/>
                <w:highlight w:val="none"/>
              </w:rPr>
            </w:pPr>
            <w:r>
              <w:rPr>
                <w:rFonts w:hint="eastAsia" w:ascii="仿宋_GB2312" w:hAnsi="仿宋_GB2312" w:cs="仿宋_GB2312"/>
                <w:color w:val="auto"/>
                <w:kern w:val="0"/>
                <w:sz w:val="21"/>
                <w:szCs w:val="21"/>
                <w:highlight w:val="none"/>
              </w:rPr>
              <w:t>按照投标文件后递交先启封的顺序确定</w:t>
            </w:r>
          </w:p>
        </w:tc>
      </w:tr>
      <w:tr w14:paraId="4D3A3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07E4A32A">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5.5</w:t>
            </w:r>
          </w:p>
        </w:tc>
        <w:tc>
          <w:tcPr>
            <w:tcW w:w="1911" w:type="dxa"/>
            <w:vAlign w:val="center"/>
          </w:tcPr>
          <w:p w14:paraId="695440BF">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投标文件</w:t>
            </w:r>
          </w:p>
          <w:p w14:paraId="6044CBF5">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拒收、退还</w:t>
            </w:r>
          </w:p>
        </w:tc>
        <w:tc>
          <w:tcPr>
            <w:tcW w:w="6255" w:type="dxa"/>
            <w:vAlign w:val="center"/>
          </w:tcPr>
          <w:p w14:paraId="4A515769">
            <w:pPr>
              <w:pStyle w:val="9"/>
              <w:adjustRightInd w:val="0"/>
              <w:snapToGrid w:val="0"/>
              <w:spacing w:after="0" w:line="360" w:lineRule="auto"/>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1.出现以下情形之一的，投标文件将被拒绝接收或予以退还：</w:t>
            </w:r>
          </w:p>
          <w:p w14:paraId="2D933615">
            <w:pPr>
              <w:pStyle w:val="9"/>
              <w:adjustRightInd w:val="0"/>
              <w:snapToGrid w:val="0"/>
              <w:spacing w:after="0" w:line="360" w:lineRule="auto"/>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zh-CN"/>
              </w:rPr>
              <w:t>投标文件逾期送达</w:t>
            </w:r>
            <w:r>
              <w:rPr>
                <w:rFonts w:hint="eastAsia" w:ascii="仿宋_GB2312" w:hAnsi="仿宋_GB2312" w:eastAsia="仿宋_GB2312" w:cs="仿宋_GB2312"/>
                <w:color w:val="auto"/>
                <w:highlight w:val="none"/>
              </w:rPr>
              <w:t>或</w:t>
            </w:r>
            <w:r>
              <w:rPr>
                <w:rFonts w:hint="eastAsia" w:ascii="仿宋_GB2312" w:hAnsi="仿宋_GB2312" w:eastAsia="仿宋_GB2312" w:cs="仿宋_GB2312"/>
                <w:color w:val="auto"/>
                <w:highlight w:val="none"/>
                <w:lang w:val="zh-CN"/>
              </w:rPr>
              <w:t>未送达指定地点</w:t>
            </w:r>
            <w:r>
              <w:rPr>
                <w:rFonts w:hint="eastAsia" w:ascii="仿宋_GB2312" w:hAnsi="仿宋_GB2312" w:eastAsia="仿宋_GB2312" w:cs="仿宋_GB2312"/>
                <w:color w:val="auto"/>
                <w:highlight w:val="none"/>
              </w:rPr>
              <w:t>的，招标人将拒绝接收；</w:t>
            </w:r>
          </w:p>
          <w:p w14:paraId="038E7C6E">
            <w:pPr>
              <w:pStyle w:val="9"/>
              <w:adjustRightInd w:val="0"/>
              <w:snapToGrid w:val="0"/>
              <w:spacing w:after="0" w:line="360" w:lineRule="auto"/>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（2）投标人在投标截止时间前提交撤回函的投标文件不予启封，并退还给投标人；</w:t>
            </w:r>
          </w:p>
          <w:p w14:paraId="0C482F4D">
            <w:pPr>
              <w:pStyle w:val="9"/>
              <w:adjustRightInd w:val="0"/>
              <w:snapToGrid w:val="0"/>
              <w:spacing w:after="0" w:line="360" w:lineRule="auto"/>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zh-CN"/>
              </w:rPr>
              <w:t>（</w:t>
            </w: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zh-CN"/>
              </w:rPr>
              <w:t>）投标文件</w:t>
            </w:r>
            <w:r>
              <w:rPr>
                <w:rFonts w:hint="eastAsia" w:ascii="仿宋_GB2312" w:hAnsi="仿宋_GB2312" w:eastAsia="仿宋_GB2312" w:cs="仿宋_GB2312"/>
                <w:color w:val="auto"/>
                <w:highlight w:val="none"/>
              </w:rPr>
              <w:t>未</w:t>
            </w:r>
            <w:r>
              <w:rPr>
                <w:rFonts w:hint="eastAsia" w:ascii="仿宋_GB2312" w:hAnsi="仿宋_GB2312" w:eastAsia="仿宋_GB2312" w:cs="仿宋_GB2312"/>
                <w:color w:val="auto"/>
                <w:highlight w:val="none"/>
                <w:lang w:val="zh-CN"/>
              </w:rPr>
              <w:t>按照第4.</w:t>
            </w:r>
            <w:r>
              <w:rPr>
                <w:rFonts w:hint="eastAsia" w:ascii="仿宋_GB2312" w:hAnsi="仿宋_GB2312" w:eastAsia="仿宋_GB2312" w:cs="仿宋_GB2312"/>
                <w:color w:val="auto"/>
                <w:highlight w:val="none"/>
              </w:rPr>
              <w:t>5</w:t>
            </w:r>
            <w:r>
              <w:rPr>
                <w:rFonts w:hint="eastAsia" w:ascii="仿宋_GB2312" w:hAnsi="仿宋_GB2312" w:eastAsia="仿宋_GB2312" w:cs="仿宋_GB2312"/>
                <w:color w:val="auto"/>
                <w:highlight w:val="none"/>
                <w:lang w:val="zh-CN"/>
              </w:rPr>
              <w:t>款要求密封和标识的，其投标文件</w:t>
            </w:r>
            <w:r>
              <w:rPr>
                <w:rFonts w:hint="eastAsia" w:ascii="仿宋_GB2312" w:hAnsi="仿宋_GB2312" w:eastAsia="仿宋_GB2312" w:cs="仿宋_GB2312"/>
                <w:color w:val="auto"/>
                <w:highlight w:val="none"/>
              </w:rPr>
              <w:t>不予启封，并退还给投标人；</w:t>
            </w:r>
          </w:p>
          <w:p w14:paraId="484B5E4F">
            <w:pPr>
              <w:pStyle w:val="9"/>
              <w:adjustRightInd w:val="0"/>
              <w:snapToGrid w:val="0"/>
              <w:spacing w:after="0" w:line="360" w:lineRule="auto"/>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（4）至投标截止时间，投标人数不足</w:t>
            </w:r>
            <w:r>
              <w:rPr>
                <w:rFonts w:hint="eastAsia" w:ascii="仿宋_GB2312" w:hAnsi="仿宋_GB2312" w:eastAsia="仿宋_GB2312" w:cs="仿宋_GB2312"/>
                <w:color w:val="auto"/>
                <w:highlight w:val="none"/>
                <w:u w:val="single"/>
              </w:rPr>
              <w:t>3</w:t>
            </w:r>
            <w:r>
              <w:rPr>
                <w:rFonts w:hint="eastAsia" w:ascii="仿宋_GB2312" w:hAnsi="仿宋_GB2312" w:eastAsia="仿宋_GB2312" w:cs="仿宋_GB2312"/>
                <w:color w:val="auto"/>
                <w:highlight w:val="none"/>
              </w:rPr>
              <w:t>家的不得开标，招标人将投标文件退还投标人。</w:t>
            </w:r>
          </w:p>
          <w:p w14:paraId="0E6DE587">
            <w:pPr>
              <w:spacing w:line="360" w:lineRule="auto"/>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2.投标文件有下列情形之一的，视为拒收：</w:t>
            </w:r>
          </w:p>
          <w:p w14:paraId="290B23F1">
            <w:pPr>
              <w:spacing w:line="360" w:lineRule="auto"/>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（1）投标文件份数不满足要求的；</w:t>
            </w:r>
          </w:p>
          <w:p w14:paraId="2B6E9B5C">
            <w:pP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（2）纸质投标文件不符合装订要求的。</w:t>
            </w:r>
          </w:p>
          <w:p w14:paraId="4D4AE4D9">
            <w:pP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3.开标后不退还投标文件</w:t>
            </w:r>
          </w:p>
        </w:tc>
      </w:tr>
      <w:tr w14:paraId="4E47C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4E49300D">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6.1.1</w:t>
            </w:r>
          </w:p>
        </w:tc>
        <w:tc>
          <w:tcPr>
            <w:tcW w:w="1911" w:type="dxa"/>
            <w:vAlign w:val="center"/>
          </w:tcPr>
          <w:p w14:paraId="68C53A9D">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评标委员会的组建</w:t>
            </w:r>
          </w:p>
        </w:tc>
        <w:tc>
          <w:tcPr>
            <w:tcW w:w="6255" w:type="dxa"/>
            <w:vAlign w:val="center"/>
          </w:tcPr>
          <w:p w14:paraId="71667558">
            <w:pPr>
              <w:autoSpaceDE w:val="0"/>
              <w:autoSpaceDN w:val="0"/>
              <w:adjustRightInd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评标委员会由招标人依法组建，评标委员会由</w:t>
            </w:r>
            <w:r>
              <w:rPr>
                <w:rFonts w:hint="eastAsia" w:ascii="仿宋_GB2312" w:hAnsi="仿宋_GB2312" w:cs="仿宋_GB2312"/>
                <w:color w:val="auto"/>
                <w:sz w:val="21"/>
                <w:szCs w:val="21"/>
                <w:highlight w:val="none"/>
                <w:u w:val="single"/>
              </w:rPr>
              <w:t xml:space="preserve"> 5 </w:t>
            </w:r>
            <w:r>
              <w:rPr>
                <w:rFonts w:hint="eastAsia" w:ascii="仿宋_GB2312" w:hAnsi="仿宋_GB2312" w:cs="仿宋_GB2312"/>
                <w:color w:val="auto"/>
                <w:sz w:val="21"/>
                <w:szCs w:val="21"/>
                <w:highlight w:val="none"/>
              </w:rPr>
              <w:t>人及以上单数组成，其中招标人代表不超过三分之一。</w:t>
            </w:r>
          </w:p>
          <w:p w14:paraId="02B0A8C8">
            <w:pPr>
              <w:autoSpaceDE w:val="0"/>
              <w:autoSpaceDN w:val="0"/>
              <w:adjustRightInd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评标委员会组成方式：由招标人代表和有关技术、经济方面的专家组成。</w:t>
            </w:r>
          </w:p>
        </w:tc>
      </w:tr>
      <w:tr w14:paraId="55A92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265B08A">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6.3.2</w:t>
            </w:r>
          </w:p>
        </w:tc>
        <w:tc>
          <w:tcPr>
            <w:tcW w:w="1911" w:type="dxa"/>
            <w:vAlign w:val="center"/>
          </w:tcPr>
          <w:p w14:paraId="02327BA6">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评标办法</w:t>
            </w:r>
          </w:p>
          <w:p w14:paraId="65BE36CA">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及否决投标条款</w:t>
            </w:r>
          </w:p>
        </w:tc>
        <w:tc>
          <w:tcPr>
            <w:tcW w:w="6255" w:type="dxa"/>
            <w:vAlign w:val="center"/>
          </w:tcPr>
          <w:p w14:paraId="4D48D906">
            <w:pPr>
              <w:autoSpaceDE w:val="0"/>
              <w:autoSpaceDN w:val="0"/>
              <w:adjustRightInd w:val="0"/>
              <w:snapToGrid w:val="0"/>
              <w:spacing w:line="360" w:lineRule="exact"/>
              <w:rPr>
                <w:rFonts w:hint="eastAsia" w:ascii="仿宋_GB2312" w:hAnsi="仿宋_GB2312" w:cs="仿宋_GB2312"/>
                <w:color w:val="auto"/>
                <w:sz w:val="21"/>
                <w:szCs w:val="21"/>
                <w:highlight w:val="none"/>
              </w:rPr>
            </w:pPr>
            <w:r>
              <w:rPr>
                <w:rFonts w:hint="eastAsia" w:ascii="仿宋_GB2312" w:hAnsi="仿宋_GB2312" w:cs="仿宋_GB2312"/>
                <w:snapToGrid w:val="0"/>
                <w:color w:val="auto"/>
                <w:sz w:val="21"/>
                <w:szCs w:val="21"/>
                <w:highlight w:val="none"/>
              </w:rPr>
              <w:t>☑</w:t>
            </w:r>
            <w:r>
              <w:rPr>
                <w:rFonts w:hint="eastAsia" w:ascii="仿宋_GB2312" w:hAnsi="仿宋_GB2312" w:cs="仿宋_GB2312"/>
                <w:color w:val="auto"/>
                <w:sz w:val="21"/>
                <w:szCs w:val="21"/>
                <w:highlight w:val="none"/>
              </w:rPr>
              <w:t>综合评分法</w:t>
            </w:r>
          </w:p>
          <w:p w14:paraId="7EBA8C66">
            <w:pPr>
              <w:autoSpaceDE w:val="0"/>
              <w:autoSpaceDN w:val="0"/>
              <w:adjustRightInd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否决投标条款：详见招标文件第四章“评标办法及评价标准”。</w:t>
            </w:r>
          </w:p>
        </w:tc>
      </w:tr>
      <w:tr w14:paraId="4149D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471AD73">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6.3.3</w:t>
            </w:r>
          </w:p>
        </w:tc>
        <w:tc>
          <w:tcPr>
            <w:tcW w:w="1911" w:type="dxa"/>
            <w:vAlign w:val="center"/>
          </w:tcPr>
          <w:p w14:paraId="2817E541">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评标委员会推荐中标候选人的数量</w:t>
            </w:r>
          </w:p>
        </w:tc>
        <w:tc>
          <w:tcPr>
            <w:tcW w:w="6255" w:type="dxa"/>
            <w:vAlign w:val="center"/>
          </w:tcPr>
          <w:p w14:paraId="37C2A53D">
            <w:pPr>
              <w:autoSpaceDE w:val="0"/>
              <w:autoSpaceDN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u w:val="single"/>
              </w:rPr>
              <w:t xml:space="preserve">  </w:t>
            </w:r>
            <w:r>
              <w:rPr>
                <w:rFonts w:hint="eastAsia" w:ascii="仿宋_GB2312" w:hAnsi="仿宋_GB2312" w:cs="仿宋_GB2312"/>
                <w:b/>
                <w:bCs/>
                <w:color w:val="auto"/>
                <w:sz w:val="21"/>
                <w:szCs w:val="21"/>
                <w:highlight w:val="none"/>
                <w:u w:val="single"/>
              </w:rPr>
              <w:t xml:space="preserve"> 1 </w:t>
            </w:r>
            <w:r>
              <w:rPr>
                <w:rFonts w:hint="eastAsia" w:ascii="仿宋_GB2312" w:hAnsi="仿宋_GB2312" w:cs="仿宋_GB2312"/>
                <w:color w:val="auto"/>
                <w:sz w:val="21"/>
                <w:szCs w:val="21"/>
                <w:highlight w:val="none"/>
                <w:u w:val="single"/>
              </w:rPr>
              <w:t>个</w:t>
            </w:r>
            <w:r>
              <w:rPr>
                <w:rFonts w:hint="eastAsia" w:ascii="仿宋_GB2312" w:hAnsi="仿宋_GB2312" w:cs="仿宋_GB2312"/>
                <w:color w:val="auto"/>
                <w:sz w:val="21"/>
                <w:szCs w:val="21"/>
                <w:highlight w:val="none"/>
              </w:rPr>
              <w:t>。</w:t>
            </w:r>
          </w:p>
        </w:tc>
      </w:tr>
      <w:tr w14:paraId="6EB79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9072B57">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8.2.1</w:t>
            </w:r>
          </w:p>
        </w:tc>
        <w:tc>
          <w:tcPr>
            <w:tcW w:w="1911" w:type="dxa"/>
            <w:vAlign w:val="center"/>
          </w:tcPr>
          <w:p w14:paraId="33168691">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履约保证金</w:t>
            </w:r>
          </w:p>
        </w:tc>
        <w:tc>
          <w:tcPr>
            <w:tcW w:w="6255" w:type="dxa"/>
            <w:vAlign w:val="center"/>
          </w:tcPr>
          <w:p w14:paraId="023539FA">
            <w:pPr>
              <w:pStyle w:val="45"/>
              <w:snapToGrid w:val="0"/>
              <w:spacing w:line="320" w:lineRule="exact"/>
              <w:ind w:right="64" w:rightChars="20"/>
              <w:jc w:val="both"/>
              <w:rPr>
                <w:rFonts w:hint="eastAsia" w:ascii="仿宋_GB2312" w:hAnsi="仿宋_GB2312" w:eastAsia="仿宋_GB2312" w:cs="仿宋_GB2312"/>
                <w:snapToGrid w:val="0"/>
                <w:color w:val="auto"/>
                <w:sz w:val="21"/>
                <w:szCs w:val="21"/>
                <w:highlight w:val="none"/>
                <w:lang w:eastAsia="zh-CN"/>
              </w:rPr>
            </w:pPr>
            <w:r>
              <w:rPr>
                <w:rFonts w:hint="eastAsia" w:ascii="仿宋_GB2312" w:hAnsi="仿宋_GB2312" w:eastAsia="仿宋_GB2312" w:cs="仿宋_GB2312"/>
                <w:snapToGrid w:val="0"/>
                <w:color w:val="auto"/>
                <w:sz w:val="21"/>
                <w:szCs w:val="21"/>
                <w:highlight w:val="none"/>
                <w:lang w:eastAsia="zh-CN"/>
              </w:rPr>
              <w:t>要求中标人缴纳履约保证金，具体如下</w:t>
            </w:r>
          </w:p>
          <w:p w14:paraId="4EFDE25E">
            <w:pPr>
              <w:pStyle w:val="46"/>
              <w:snapToGrid w:val="0"/>
              <w:spacing w:after="0" w:line="320" w:lineRule="exact"/>
              <w:jc w:val="left"/>
              <w:rPr>
                <w:rFonts w:hint="eastAsia" w:ascii="仿宋_GB2312" w:hAnsi="仿宋_GB2312" w:eastAsia="仿宋_GB2312" w:cs="仿宋_GB2312"/>
                <w:b w:val="0"/>
                <w:bCs w:val="0"/>
                <w:color w:val="auto"/>
                <w:kern w:val="2"/>
                <w:sz w:val="21"/>
                <w:szCs w:val="21"/>
                <w:highlight w:val="none"/>
                <w:lang w:val="en-US"/>
              </w:rPr>
            </w:pPr>
            <w:r>
              <w:rPr>
                <w:rFonts w:hint="eastAsia" w:ascii="仿宋_GB2312" w:hAnsi="仿宋_GB2312" w:eastAsia="仿宋_GB2312" w:cs="仿宋_GB2312"/>
                <w:b w:val="0"/>
                <w:bCs w:val="0"/>
                <w:color w:val="auto"/>
                <w:kern w:val="2"/>
                <w:sz w:val="21"/>
                <w:szCs w:val="21"/>
                <w:highlight w:val="none"/>
                <w:lang w:val="en-US"/>
              </w:rPr>
              <w:t>1、履约保证金缴纳信息：</w:t>
            </w:r>
          </w:p>
          <w:p w14:paraId="7CE212FA">
            <w:pPr>
              <w:pStyle w:val="46"/>
              <w:snapToGrid w:val="0"/>
              <w:spacing w:after="0" w:line="320" w:lineRule="exact"/>
              <w:jc w:val="left"/>
              <w:rPr>
                <w:rFonts w:hint="eastAsia" w:ascii="仿宋_GB2312" w:hAnsi="仿宋_GB2312" w:eastAsia="仿宋_GB2312" w:cs="仿宋_GB2312"/>
                <w:color w:val="auto"/>
                <w:kern w:val="2"/>
                <w:sz w:val="21"/>
                <w:szCs w:val="21"/>
                <w:highlight w:val="none"/>
                <w:lang w:val="en-US"/>
              </w:rPr>
            </w:pPr>
            <w:r>
              <w:rPr>
                <w:rFonts w:hint="eastAsia" w:ascii="仿宋_GB2312" w:hAnsi="仿宋_GB2312" w:eastAsia="仿宋_GB2312" w:cs="仿宋_GB2312"/>
                <w:color w:val="auto"/>
                <w:kern w:val="2"/>
                <w:sz w:val="21"/>
                <w:szCs w:val="21"/>
                <w:highlight w:val="none"/>
                <w:lang w:val="en-US"/>
              </w:rPr>
              <w:t>金额：合同价的5%；</w:t>
            </w:r>
          </w:p>
          <w:p w14:paraId="07FF0812">
            <w:pPr>
              <w:widowControl/>
              <w:topLinePunct/>
              <w:autoSpaceDE w:val="0"/>
              <w:autoSpaceDN w:val="0"/>
              <w:adjustRightInd w:val="0"/>
              <w:snapToGrid w:val="0"/>
              <w:spacing w:line="340" w:lineRule="exact"/>
              <w:ind w:right="98"/>
              <w:jc w:val="left"/>
              <w:textAlignment w:val="baseline"/>
              <w:rPr>
                <w:rFonts w:hint="eastAsia" w:ascii="仿宋_GB2312" w:hAnsi="仿宋_GB2312" w:cs="仿宋_GB2312"/>
                <w:b/>
                <w:bCs/>
                <w:color w:val="auto"/>
                <w:sz w:val="21"/>
                <w:szCs w:val="21"/>
                <w:highlight w:val="none"/>
              </w:rPr>
            </w:pPr>
            <w:r>
              <w:rPr>
                <w:rFonts w:hint="eastAsia" w:ascii="仿宋_GB2312" w:hAnsi="仿宋_GB2312" w:cs="仿宋_GB2312"/>
                <w:b/>
                <w:bCs/>
                <w:color w:val="auto"/>
                <w:sz w:val="21"/>
                <w:szCs w:val="21"/>
                <w:highlight w:val="none"/>
              </w:rPr>
              <w:t>履约保证金接收人：杭州临江环境能源有限公司。</w:t>
            </w:r>
          </w:p>
          <w:p w14:paraId="5DE548C5">
            <w:pPr>
              <w:widowControl/>
              <w:topLinePunct/>
              <w:autoSpaceDE w:val="0"/>
              <w:autoSpaceDN w:val="0"/>
              <w:adjustRightInd w:val="0"/>
              <w:snapToGrid w:val="0"/>
              <w:spacing w:line="340" w:lineRule="exact"/>
              <w:ind w:right="98"/>
              <w:jc w:val="left"/>
              <w:textAlignment w:val="baseline"/>
              <w:rPr>
                <w:rFonts w:hint="eastAsia" w:ascii="仿宋_GB2312" w:hAnsi="仿宋_GB2312" w:cs="仿宋_GB2312"/>
                <w:b/>
                <w:bCs/>
                <w:color w:val="auto"/>
                <w:sz w:val="21"/>
                <w:szCs w:val="21"/>
                <w:highlight w:val="none"/>
              </w:rPr>
            </w:pPr>
            <w:r>
              <w:rPr>
                <w:rFonts w:hint="eastAsia" w:ascii="仿宋_GB2312" w:hAnsi="仿宋_GB2312" w:cs="仿宋_GB2312"/>
                <w:b/>
                <w:bCs/>
                <w:color w:val="auto"/>
                <w:sz w:val="21"/>
                <w:szCs w:val="21"/>
                <w:highlight w:val="none"/>
              </w:rPr>
              <w:t>缴纳形式：支票/汇票/电汇/转账</w:t>
            </w:r>
          </w:p>
          <w:p w14:paraId="40258A2E">
            <w:pPr>
              <w:spacing w:line="320" w:lineRule="exact"/>
              <w:contextualSpacing/>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缴纳时间：中标通知书领取之后，合同签订之前。</w:t>
            </w:r>
          </w:p>
          <w:p w14:paraId="7B32CDAA">
            <w:pPr>
              <w:pStyle w:val="46"/>
              <w:snapToGrid w:val="0"/>
              <w:spacing w:after="0" w:line="320" w:lineRule="exact"/>
              <w:jc w:val="left"/>
              <w:rPr>
                <w:rFonts w:hint="eastAsia" w:ascii="仿宋_GB2312" w:hAnsi="仿宋_GB2312" w:eastAsia="仿宋_GB2312" w:cs="仿宋_GB2312"/>
                <w:b w:val="0"/>
                <w:bCs w:val="0"/>
                <w:color w:val="auto"/>
                <w:kern w:val="2"/>
                <w:sz w:val="21"/>
                <w:szCs w:val="21"/>
                <w:highlight w:val="none"/>
                <w:lang w:val="en-US"/>
              </w:rPr>
            </w:pPr>
            <w:r>
              <w:rPr>
                <w:rFonts w:hint="eastAsia" w:ascii="仿宋_GB2312" w:hAnsi="仿宋_GB2312" w:eastAsia="仿宋_GB2312" w:cs="仿宋_GB2312"/>
                <w:b w:val="0"/>
                <w:bCs w:val="0"/>
                <w:color w:val="auto"/>
                <w:kern w:val="2"/>
                <w:sz w:val="21"/>
                <w:szCs w:val="21"/>
                <w:highlight w:val="none"/>
                <w:lang w:val="en-US"/>
              </w:rPr>
              <w:t>2、其他说明：</w:t>
            </w:r>
          </w:p>
          <w:p w14:paraId="6708F37C">
            <w:pPr>
              <w:pStyle w:val="46"/>
              <w:snapToGrid w:val="0"/>
              <w:spacing w:after="0" w:line="320" w:lineRule="exact"/>
              <w:jc w:val="left"/>
              <w:rPr>
                <w:rFonts w:hint="eastAsia" w:ascii="仿宋_GB2312" w:hAnsi="仿宋_GB2312" w:eastAsia="仿宋_GB2312" w:cs="仿宋_GB2312"/>
                <w:b w:val="0"/>
                <w:bCs w:val="0"/>
                <w:color w:val="auto"/>
                <w:kern w:val="2"/>
                <w:sz w:val="21"/>
                <w:szCs w:val="21"/>
                <w:highlight w:val="none"/>
                <w:lang w:val="en-US"/>
              </w:rPr>
            </w:pPr>
            <w:r>
              <w:rPr>
                <w:rFonts w:hint="eastAsia" w:ascii="仿宋_GB2312" w:hAnsi="仿宋_GB2312" w:eastAsia="仿宋_GB2312" w:cs="仿宋_GB2312"/>
                <w:b w:val="0"/>
                <w:bCs w:val="0"/>
                <w:color w:val="auto"/>
                <w:kern w:val="2"/>
                <w:sz w:val="21"/>
                <w:szCs w:val="21"/>
                <w:highlight w:val="none"/>
                <w:lang w:val="en-US"/>
              </w:rPr>
              <w:t>投标人在履约保证金缴纳时必须注明项目名称和招标编号。</w:t>
            </w:r>
          </w:p>
          <w:p w14:paraId="5D71B848">
            <w:pPr>
              <w:autoSpaceDE w:val="0"/>
              <w:autoSpaceDN w:val="0"/>
              <w:adjustRightInd w:val="0"/>
              <w:snapToGrid w:val="0"/>
              <w:spacing w:line="320" w:lineRule="exact"/>
              <w:jc w:val="left"/>
              <w:rPr>
                <w:rFonts w:hint="eastAsia" w:ascii="仿宋_GB2312" w:hAnsi="仿宋_GB2312" w:cs="仿宋_GB2312"/>
                <w:snapToGrid w:val="0"/>
                <w:color w:val="auto"/>
                <w:kern w:val="0"/>
                <w:sz w:val="21"/>
                <w:szCs w:val="21"/>
                <w:highlight w:val="none"/>
              </w:rPr>
            </w:pPr>
            <w:r>
              <w:rPr>
                <w:rFonts w:hint="eastAsia" w:ascii="仿宋_GB2312" w:hAnsi="仿宋_GB2312" w:cs="仿宋_GB2312"/>
                <w:color w:val="auto"/>
                <w:sz w:val="21"/>
                <w:szCs w:val="21"/>
                <w:highlight w:val="none"/>
              </w:rPr>
              <w:t>投标人应将履约保证金的缴纳凭证在合同签订前提交，如超出期限未缴纳的，招标人将视其拒绝履行投标承诺，招标人有权单方取消其中标资格，并有权扣除其全部投标保证金。</w:t>
            </w:r>
          </w:p>
        </w:tc>
      </w:tr>
      <w:tr w14:paraId="7455E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38F2F9C">
            <w:pPr>
              <w:autoSpaceDE w:val="0"/>
              <w:autoSpaceDN w:val="0"/>
              <w:adjustRightInd w:val="0"/>
              <w:snapToGrid w:val="0"/>
              <w:spacing w:line="400" w:lineRule="exact"/>
              <w:jc w:val="center"/>
              <w:rPr>
                <w:rFonts w:hint="eastAsia" w:ascii="仿宋_GB2312" w:hAnsi="仿宋_GB2312" w:cs="仿宋_GB2312"/>
                <w:b/>
                <w:snapToGrid w:val="0"/>
                <w:color w:val="auto"/>
                <w:kern w:val="0"/>
                <w:sz w:val="21"/>
                <w:szCs w:val="21"/>
                <w:highlight w:val="none"/>
              </w:rPr>
            </w:pPr>
            <w:r>
              <w:rPr>
                <w:rFonts w:hint="eastAsia" w:ascii="仿宋_GB2312" w:hAnsi="仿宋_GB2312" w:cs="仿宋_GB2312"/>
                <w:b/>
                <w:snapToGrid w:val="0"/>
                <w:color w:val="auto"/>
                <w:kern w:val="0"/>
                <w:sz w:val="21"/>
                <w:szCs w:val="21"/>
                <w:highlight w:val="none"/>
              </w:rPr>
              <w:t>11.1</w:t>
            </w:r>
          </w:p>
        </w:tc>
        <w:tc>
          <w:tcPr>
            <w:tcW w:w="8166" w:type="dxa"/>
            <w:gridSpan w:val="2"/>
            <w:vAlign w:val="center"/>
          </w:tcPr>
          <w:p w14:paraId="77222798">
            <w:pPr>
              <w:autoSpaceDE w:val="0"/>
              <w:autoSpaceDN w:val="0"/>
              <w:adjustRightInd w:val="0"/>
              <w:snapToGrid w:val="0"/>
              <w:spacing w:line="400" w:lineRule="exact"/>
              <w:jc w:val="center"/>
              <w:rPr>
                <w:rFonts w:hint="eastAsia" w:ascii="仿宋_GB2312" w:hAnsi="仿宋_GB2312" w:cs="仿宋_GB2312"/>
                <w:b/>
                <w:snapToGrid w:val="0"/>
                <w:color w:val="auto"/>
                <w:kern w:val="0"/>
                <w:sz w:val="21"/>
                <w:szCs w:val="21"/>
                <w:highlight w:val="none"/>
              </w:rPr>
            </w:pPr>
            <w:r>
              <w:rPr>
                <w:rFonts w:hint="eastAsia" w:ascii="仿宋_GB2312" w:hAnsi="仿宋_GB2312" w:cs="仿宋_GB2312"/>
                <w:b/>
                <w:snapToGrid w:val="0"/>
                <w:color w:val="auto"/>
                <w:kern w:val="0"/>
                <w:sz w:val="21"/>
                <w:szCs w:val="21"/>
                <w:highlight w:val="none"/>
              </w:rPr>
              <w:t>需要补充的其他内容</w:t>
            </w:r>
          </w:p>
        </w:tc>
      </w:tr>
      <w:tr w14:paraId="01A93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1F8CD30E">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11.1.1</w:t>
            </w:r>
          </w:p>
        </w:tc>
        <w:tc>
          <w:tcPr>
            <w:tcW w:w="1911" w:type="dxa"/>
            <w:vAlign w:val="center"/>
          </w:tcPr>
          <w:p w14:paraId="788990A1">
            <w:pPr>
              <w:autoSpaceDE w:val="0"/>
              <w:autoSpaceDN w:val="0"/>
              <w:adjustRightInd w:val="0"/>
              <w:snapToGrid w:val="0"/>
              <w:spacing w:line="400" w:lineRule="exact"/>
              <w:jc w:val="center"/>
              <w:rPr>
                <w:rFonts w:hint="eastAsia" w:ascii="仿宋_GB2312" w:hAnsi="仿宋_GB2312" w:cs="仿宋_GB2312"/>
                <w:snapToGrid w:val="0"/>
                <w:color w:val="auto"/>
                <w:kern w:val="0"/>
                <w:sz w:val="21"/>
                <w:szCs w:val="21"/>
                <w:highlight w:val="none"/>
              </w:rPr>
            </w:pPr>
            <w:r>
              <w:rPr>
                <w:rFonts w:hint="eastAsia" w:ascii="仿宋_GB2312" w:hAnsi="仿宋_GB2312" w:cs="仿宋_GB2312"/>
                <w:snapToGrid w:val="0"/>
                <w:color w:val="auto"/>
                <w:kern w:val="0"/>
                <w:sz w:val="21"/>
                <w:szCs w:val="21"/>
                <w:highlight w:val="none"/>
              </w:rPr>
              <w:t>备注</w:t>
            </w:r>
          </w:p>
        </w:tc>
        <w:tc>
          <w:tcPr>
            <w:tcW w:w="6255" w:type="dxa"/>
            <w:vAlign w:val="center"/>
          </w:tcPr>
          <w:p w14:paraId="507E7ACE">
            <w:pPr>
              <w:autoSpaceDE w:val="0"/>
              <w:autoSpaceDN w:val="0"/>
              <w:adjustRightInd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（1）本招标文件由招标人负责解释。</w:t>
            </w:r>
          </w:p>
          <w:p w14:paraId="1F3A16AA">
            <w:pPr>
              <w:autoSpaceDE w:val="0"/>
              <w:autoSpaceDN w:val="0"/>
              <w:adjustRightInd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（2）投标人须知内容和本前附表内容不一致的，以本前附表中所载内容为准。</w:t>
            </w:r>
          </w:p>
          <w:p w14:paraId="12844BD5">
            <w:pPr>
              <w:autoSpaceDE w:val="0"/>
              <w:autoSpaceDN w:val="0"/>
              <w:adjustRightInd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785DD635">
            <w:pPr>
              <w:autoSpaceDE w:val="0"/>
              <w:autoSpaceDN w:val="0"/>
              <w:adjustRightInd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（4）招标文件中打▲符号的条款为实质性条款，不满足地按无效标处理。</w:t>
            </w:r>
          </w:p>
          <w:p w14:paraId="42EFB96C">
            <w:pPr>
              <w:autoSpaceDE w:val="0"/>
              <w:autoSpaceDN w:val="0"/>
              <w:adjustRightInd w:val="0"/>
              <w:snapToGrid w:val="0"/>
              <w:spacing w:line="400" w:lineRule="exact"/>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 xml:space="preserve">（5）招标人认为需要补充的其他内容：/    </w:t>
            </w:r>
          </w:p>
        </w:tc>
      </w:tr>
    </w:tbl>
    <w:p w14:paraId="546EB432">
      <w:pPr>
        <w:rPr>
          <w:rFonts w:cs="宋体"/>
          <w:b/>
          <w:color w:val="auto"/>
          <w:sz w:val="28"/>
          <w:szCs w:val="28"/>
          <w:highlight w:val="none"/>
        </w:rPr>
      </w:pPr>
    </w:p>
    <w:p w14:paraId="6F79DF17">
      <w:pPr>
        <w:jc w:val="left"/>
        <w:rPr>
          <w:rStyle w:val="42"/>
          <w:rFonts w:ascii="Times New Roman" w:hAnsi="Times New Roman" w:cs="宋体"/>
          <w:color w:val="auto"/>
          <w:kern w:val="0"/>
          <w:szCs w:val="20"/>
          <w:highlight w:val="none"/>
        </w:rPr>
      </w:pPr>
      <w:r>
        <w:rPr>
          <w:rStyle w:val="42"/>
          <w:rFonts w:hint="eastAsia" w:ascii="Times New Roman" w:hAnsi="Times New Roman" w:cs="宋体"/>
          <w:color w:val="auto"/>
          <w:kern w:val="0"/>
          <w:szCs w:val="20"/>
          <w:highlight w:val="none"/>
        </w:rPr>
        <w:br w:type="page"/>
      </w:r>
    </w:p>
    <w:p w14:paraId="3170587D">
      <w:pPr>
        <w:snapToGrid w:val="0"/>
        <w:spacing w:line="360" w:lineRule="auto"/>
        <w:jc w:val="center"/>
        <w:outlineLvl w:val="1"/>
        <w:rPr>
          <w:rFonts w:cs="仿宋_GB2312"/>
          <w:b/>
          <w:snapToGrid w:val="0"/>
          <w:color w:val="auto"/>
          <w:kern w:val="0"/>
          <w:sz w:val="24"/>
          <w:highlight w:val="none"/>
        </w:rPr>
      </w:pPr>
      <w:bookmarkStart w:id="7" w:name="_Toc32085"/>
      <w:bookmarkStart w:id="8" w:name="_Toc83886015"/>
      <w:bookmarkStart w:id="9" w:name="_Toc16321"/>
      <w:r>
        <w:rPr>
          <w:rFonts w:hint="eastAsia" w:cs="仿宋_GB2312"/>
          <w:b/>
          <w:snapToGrid w:val="0"/>
          <w:color w:val="auto"/>
          <w:kern w:val="0"/>
          <w:sz w:val="24"/>
          <w:highlight w:val="none"/>
        </w:rPr>
        <w:t>1、总则</w:t>
      </w:r>
      <w:bookmarkEnd w:id="7"/>
      <w:bookmarkEnd w:id="8"/>
      <w:bookmarkEnd w:id="9"/>
    </w:p>
    <w:p w14:paraId="3DFF72E0">
      <w:pPr>
        <w:keepNext/>
        <w:keepLines/>
        <w:adjustRightInd w:val="0"/>
        <w:snapToGrid w:val="0"/>
        <w:spacing w:line="360" w:lineRule="auto"/>
        <w:jc w:val="left"/>
        <w:outlineLvl w:val="2"/>
        <w:rPr>
          <w:rFonts w:cs="仿宋_GB2312"/>
          <w:b/>
          <w:bCs/>
          <w:snapToGrid w:val="0"/>
          <w:color w:val="auto"/>
          <w:kern w:val="0"/>
          <w:sz w:val="24"/>
          <w:highlight w:val="none"/>
        </w:rPr>
      </w:pPr>
      <w:bookmarkStart w:id="10" w:name="_Toc26216"/>
      <w:r>
        <w:rPr>
          <w:rFonts w:hint="eastAsia" w:cs="仿宋_GB2312"/>
          <w:b/>
          <w:bCs/>
          <w:snapToGrid w:val="0"/>
          <w:color w:val="auto"/>
          <w:kern w:val="0"/>
          <w:sz w:val="24"/>
          <w:highlight w:val="none"/>
        </w:rPr>
        <w:t>1.1项目</w:t>
      </w:r>
      <w:bookmarkEnd w:id="10"/>
      <w:r>
        <w:rPr>
          <w:rFonts w:hint="eastAsia" w:cs="仿宋_GB2312"/>
          <w:b/>
          <w:bCs/>
          <w:snapToGrid w:val="0"/>
          <w:color w:val="auto"/>
          <w:kern w:val="0"/>
          <w:sz w:val="24"/>
          <w:highlight w:val="none"/>
        </w:rPr>
        <w:t>说明</w:t>
      </w:r>
    </w:p>
    <w:p w14:paraId="0BE6CF73">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u w:val="single"/>
        </w:rPr>
      </w:pPr>
      <w:bookmarkStart w:id="11" w:name="_Toc6246"/>
      <w:r>
        <w:rPr>
          <w:rFonts w:hint="eastAsia" w:eastAsia="仿宋_GB2312" w:cs="仿宋_GB2312"/>
          <w:snapToGrid w:val="0"/>
          <w:color w:val="auto"/>
          <w:kern w:val="0"/>
          <w:sz w:val="24"/>
          <w:szCs w:val="24"/>
          <w:highlight w:val="none"/>
        </w:rPr>
        <w:t>1.1.1本项目招标适用以下规定：《中华人民共和国招标投标法》、《中华人民共和国招标投标法实施条例》。</w:t>
      </w:r>
    </w:p>
    <w:bookmarkEnd w:id="11"/>
    <w:p w14:paraId="30B11A9D">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u w:val="single"/>
        </w:rPr>
      </w:pPr>
      <w:bookmarkStart w:id="12" w:name="_Toc9136"/>
      <w:r>
        <w:rPr>
          <w:rFonts w:hint="eastAsia" w:eastAsia="仿宋_GB2312" w:cs="仿宋_GB2312"/>
          <w:snapToGrid w:val="0"/>
          <w:color w:val="auto"/>
          <w:kern w:val="0"/>
          <w:sz w:val="24"/>
          <w:szCs w:val="24"/>
          <w:highlight w:val="none"/>
        </w:rPr>
        <w:t>1.1.2招标组织形式：见投标人须知前附表。</w:t>
      </w:r>
    </w:p>
    <w:p w14:paraId="1556B67B">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1.1.3招标人：提出招标项目、进行招标的法人或者其他组织。见投标人须知前附表。</w:t>
      </w:r>
    </w:p>
    <w:p w14:paraId="3AA33E10">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1.1.4采购人：即业主，是合同中明确规定的实际购买货物和服务的法人或其他组织和自然人。见投标人须知前附表。</w:t>
      </w:r>
    </w:p>
    <w:p w14:paraId="2390BA31">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1.1.5招标代理机构：见投标人须知前附表。</w:t>
      </w:r>
    </w:p>
    <w:p w14:paraId="02439D21">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1.1.6项目概况：见投标人须知前附表。</w:t>
      </w:r>
    </w:p>
    <w:p w14:paraId="76EFBEB8">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1.2资金来源</w:t>
      </w:r>
      <w:bookmarkEnd w:id="12"/>
      <w:r>
        <w:rPr>
          <w:rFonts w:hint="eastAsia" w:cs="仿宋_GB2312"/>
          <w:b/>
          <w:bCs/>
          <w:snapToGrid w:val="0"/>
          <w:color w:val="auto"/>
          <w:kern w:val="0"/>
          <w:sz w:val="24"/>
          <w:highlight w:val="none"/>
        </w:rPr>
        <w:t>和落实情况</w:t>
      </w:r>
    </w:p>
    <w:p w14:paraId="6674A0D7">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bookmarkStart w:id="13" w:name="_Toc10673"/>
      <w:r>
        <w:rPr>
          <w:rFonts w:hint="eastAsia" w:eastAsia="仿宋_GB2312" w:cs="仿宋_GB2312"/>
          <w:snapToGrid w:val="0"/>
          <w:color w:val="auto"/>
          <w:kern w:val="0"/>
          <w:sz w:val="24"/>
          <w:szCs w:val="24"/>
          <w:highlight w:val="none"/>
        </w:rPr>
        <w:t>1.2.1资金来源及落实情况：见投标人须知前附表。</w:t>
      </w:r>
    </w:p>
    <w:p w14:paraId="234B3C96">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1.3招标范围及内容</w:t>
      </w:r>
    </w:p>
    <w:p w14:paraId="18601039">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1.3.1招标范围及内容：见投标人须知前附表。</w:t>
      </w:r>
    </w:p>
    <w:bookmarkEnd w:id="13"/>
    <w:p w14:paraId="385B2A5B">
      <w:pPr>
        <w:keepNext/>
        <w:keepLines/>
        <w:adjustRightInd w:val="0"/>
        <w:snapToGrid w:val="0"/>
        <w:spacing w:line="360" w:lineRule="auto"/>
        <w:jc w:val="left"/>
        <w:outlineLvl w:val="2"/>
        <w:rPr>
          <w:rFonts w:cs="仿宋_GB2312"/>
          <w:b/>
          <w:bCs/>
          <w:snapToGrid w:val="0"/>
          <w:color w:val="auto"/>
          <w:kern w:val="0"/>
          <w:sz w:val="24"/>
          <w:highlight w:val="none"/>
        </w:rPr>
      </w:pPr>
      <w:bookmarkStart w:id="14" w:name="_Toc13012"/>
      <w:r>
        <w:rPr>
          <w:rFonts w:hint="eastAsia" w:cs="仿宋_GB2312"/>
          <w:b/>
          <w:bCs/>
          <w:snapToGrid w:val="0"/>
          <w:color w:val="auto"/>
          <w:kern w:val="0"/>
          <w:sz w:val="24"/>
          <w:highlight w:val="none"/>
        </w:rPr>
        <w:t>1.4投标人</w:t>
      </w:r>
      <w:bookmarkEnd w:id="14"/>
      <w:r>
        <w:rPr>
          <w:rFonts w:hint="eastAsia" w:cs="仿宋_GB2312"/>
          <w:b/>
          <w:bCs/>
          <w:snapToGrid w:val="0"/>
          <w:color w:val="auto"/>
          <w:kern w:val="0"/>
          <w:sz w:val="24"/>
          <w:highlight w:val="none"/>
        </w:rPr>
        <w:t>资格审查方式、资格条件</w:t>
      </w:r>
    </w:p>
    <w:p w14:paraId="1C74C21F">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1.4.1投标人资格审查方式：见投标人须知前附表。</w:t>
      </w:r>
    </w:p>
    <w:p w14:paraId="4647E9AA">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1.4.2投标人资格条件：见投标人须知前附表。</w:t>
      </w:r>
    </w:p>
    <w:p w14:paraId="4FDC06C2">
      <w:pPr>
        <w:adjustRightInd w:val="0"/>
        <w:snapToGrid w:val="0"/>
        <w:spacing w:line="360" w:lineRule="auto"/>
        <w:rPr>
          <w:rFonts w:cs="仿宋_GB2312"/>
          <w:b/>
          <w:bCs/>
          <w:snapToGrid w:val="0"/>
          <w:color w:val="auto"/>
          <w:kern w:val="0"/>
          <w:sz w:val="24"/>
          <w:highlight w:val="none"/>
        </w:rPr>
      </w:pPr>
      <w:r>
        <w:rPr>
          <w:rFonts w:hint="eastAsia" w:cs="仿宋_GB2312"/>
          <w:b/>
          <w:bCs/>
          <w:snapToGrid w:val="0"/>
          <w:color w:val="auto"/>
          <w:kern w:val="0"/>
          <w:sz w:val="24"/>
          <w:highlight w:val="none"/>
        </w:rPr>
        <w:t>1.5联合体投标</w:t>
      </w:r>
    </w:p>
    <w:p w14:paraId="46FC1ED0">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1.5.1本项目是否接受联合体投标：见投标人须知前附表。</w:t>
      </w:r>
    </w:p>
    <w:p w14:paraId="5136DF56">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1.5.2投标人须知前附表规定接受联合体投标的，联合体应满足以下要求：</w:t>
      </w:r>
    </w:p>
    <w:p w14:paraId="4122D4E9">
      <w:pPr>
        <w:pStyle w:val="22"/>
        <w:adjustRightInd w:val="0"/>
        <w:snapToGrid w:val="0"/>
        <w:spacing w:before="0" w:beforeAutospacing="0" w:after="0" w:afterAutospacing="0" w:line="360" w:lineRule="auto"/>
        <w:ind w:left="160" w:leftChars="50" w:firstLine="360" w:firstLineChars="150"/>
        <w:rPr>
          <w:rFonts w:ascii="Times New Roman" w:hAnsi="Times New Roman" w:eastAsia="仿宋_GB2312" w:cs="仿宋_GB2312"/>
          <w:color w:val="auto"/>
          <w:kern w:val="2"/>
          <w:highlight w:val="none"/>
        </w:rPr>
      </w:pPr>
      <w:r>
        <w:rPr>
          <w:rFonts w:hint="eastAsia" w:ascii="Times New Roman" w:hAnsi="Times New Roman" w:eastAsia="仿宋_GB2312" w:cs="仿宋_GB2312"/>
          <w:color w:val="auto"/>
          <w:kern w:val="2"/>
          <w:highlight w:val="none"/>
        </w:rPr>
        <w:t>1）符合《中华人民共和国招标投标法》、《中华人民共和国招标投标法实施条例》的规定；</w:t>
      </w:r>
    </w:p>
    <w:p w14:paraId="704ED358">
      <w:pPr>
        <w:pStyle w:val="22"/>
        <w:adjustRightInd w:val="0"/>
        <w:snapToGrid w:val="0"/>
        <w:spacing w:before="0" w:beforeAutospacing="0" w:after="0" w:afterAutospacing="0" w:line="360" w:lineRule="auto"/>
        <w:ind w:left="160" w:leftChars="50" w:firstLine="360" w:firstLineChars="150"/>
        <w:rPr>
          <w:rFonts w:ascii="Times New Roman" w:hAnsi="Times New Roman" w:eastAsia="仿宋_GB2312" w:cs="仿宋_GB2312"/>
          <w:color w:val="auto"/>
          <w:kern w:val="2"/>
          <w:highlight w:val="none"/>
        </w:rPr>
      </w:pPr>
      <w:r>
        <w:rPr>
          <w:rFonts w:hint="eastAsia" w:ascii="Times New Roman" w:hAnsi="Times New Roman" w:eastAsia="仿宋_GB2312" w:cs="仿宋_GB2312"/>
          <w:color w:val="auto"/>
          <w:kern w:val="2"/>
          <w:highlight w:val="none"/>
        </w:rPr>
        <w:t>2）以联合体形式参加投标的，应当提交联合体协议，指定牵头人并出具由联合体成员各方共同签署的投标授权书；</w:t>
      </w:r>
    </w:p>
    <w:p w14:paraId="1B0EDBF8">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3）除非另有规定或说明，本招标文件中“投标人”一词亦指联合体各成员。</w:t>
      </w:r>
    </w:p>
    <w:p w14:paraId="24197C75">
      <w:pPr>
        <w:adjustRightInd w:val="0"/>
        <w:snapToGrid w:val="0"/>
        <w:spacing w:line="360" w:lineRule="auto"/>
        <w:rPr>
          <w:rFonts w:cs="仿宋_GB2312"/>
          <w:b/>
          <w:bCs/>
          <w:snapToGrid w:val="0"/>
          <w:color w:val="auto"/>
          <w:kern w:val="0"/>
          <w:sz w:val="24"/>
          <w:highlight w:val="none"/>
        </w:rPr>
      </w:pPr>
      <w:r>
        <w:rPr>
          <w:rFonts w:hint="eastAsia" w:cs="仿宋_GB2312"/>
          <w:b/>
          <w:bCs/>
          <w:snapToGrid w:val="0"/>
          <w:color w:val="auto"/>
          <w:kern w:val="0"/>
          <w:sz w:val="24"/>
          <w:highlight w:val="none"/>
        </w:rPr>
        <w:t>1.6关联性投标</w:t>
      </w:r>
    </w:p>
    <w:p w14:paraId="00C8534C">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1.6.1项目关联性投标要求：见投标人须知前附表。</w:t>
      </w:r>
    </w:p>
    <w:p w14:paraId="20304654">
      <w:pPr>
        <w:adjustRightInd w:val="0"/>
        <w:snapToGrid w:val="0"/>
        <w:spacing w:line="360" w:lineRule="auto"/>
        <w:rPr>
          <w:rFonts w:cs="仿宋_GB2312"/>
          <w:b/>
          <w:bCs/>
          <w:snapToGrid w:val="0"/>
          <w:color w:val="auto"/>
          <w:kern w:val="0"/>
          <w:sz w:val="24"/>
          <w:highlight w:val="none"/>
        </w:rPr>
      </w:pPr>
      <w:r>
        <w:rPr>
          <w:rFonts w:hint="eastAsia" w:cs="仿宋_GB2312"/>
          <w:b/>
          <w:bCs/>
          <w:snapToGrid w:val="0"/>
          <w:color w:val="auto"/>
          <w:kern w:val="0"/>
          <w:sz w:val="24"/>
          <w:highlight w:val="none"/>
        </w:rPr>
        <w:t>1.7分包</w:t>
      </w:r>
    </w:p>
    <w:p w14:paraId="7706D570">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1.7.1本项目是否允许分包：见投标人须知前附表。</w:t>
      </w:r>
    </w:p>
    <w:p w14:paraId="5C37159F">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1.7.2投标人拟在中标后将中标项目的非主体、非关键部分工作进行分包的，应满足以下要求：</w:t>
      </w:r>
    </w:p>
    <w:p w14:paraId="48455498">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1）符合投标人须知前附表规定的分包内容、分包金额要求，除投标人须知前附表规定的非主体、非关键部分工作外，其他工作不得分包。</w:t>
      </w:r>
    </w:p>
    <w:p w14:paraId="26CB3146">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2）接受分包一方应当具备相应的资格条件，并不得再次分包。中标人应当就分包内容向招标人负责，接受分包一方就分包内容承担连带责任。</w:t>
      </w:r>
    </w:p>
    <w:p w14:paraId="5C2E0D0A">
      <w:pPr>
        <w:adjustRightInd w:val="0"/>
        <w:snapToGrid w:val="0"/>
        <w:spacing w:line="360" w:lineRule="auto"/>
        <w:rPr>
          <w:rFonts w:cs="仿宋_GB2312"/>
          <w:b/>
          <w:bCs/>
          <w:snapToGrid w:val="0"/>
          <w:color w:val="auto"/>
          <w:kern w:val="0"/>
          <w:sz w:val="24"/>
          <w:highlight w:val="none"/>
        </w:rPr>
      </w:pPr>
      <w:r>
        <w:rPr>
          <w:rFonts w:hint="eastAsia" w:cs="仿宋_GB2312"/>
          <w:b/>
          <w:bCs/>
          <w:snapToGrid w:val="0"/>
          <w:color w:val="auto"/>
          <w:kern w:val="0"/>
          <w:sz w:val="24"/>
          <w:highlight w:val="none"/>
        </w:rPr>
        <w:t>1.8响应和偏差</w:t>
      </w:r>
    </w:p>
    <w:p w14:paraId="6DB724D4">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260CBDF2">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1.8.2投标文件对招标文件的全部偏差，均应在投标文件的商务和技术偏离表中列明，除列明的内容外，视为投标人响应招标文件的全部要求。</w:t>
      </w:r>
    </w:p>
    <w:p w14:paraId="51DFBA2A">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0EF5C184">
      <w:pPr>
        <w:keepNext/>
        <w:keepLines/>
        <w:adjustRightInd w:val="0"/>
        <w:snapToGrid w:val="0"/>
        <w:spacing w:line="360" w:lineRule="auto"/>
        <w:jc w:val="left"/>
        <w:outlineLvl w:val="2"/>
        <w:rPr>
          <w:rFonts w:cs="仿宋_GB2312"/>
          <w:b/>
          <w:bCs/>
          <w:snapToGrid w:val="0"/>
          <w:color w:val="auto"/>
          <w:kern w:val="0"/>
          <w:sz w:val="24"/>
          <w:highlight w:val="none"/>
        </w:rPr>
      </w:pPr>
      <w:bookmarkStart w:id="15" w:name="_Toc3996"/>
      <w:r>
        <w:rPr>
          <w:rFonts w:hint="eastAsia" w:cs="仿宋_GB2312"/>
          <w:b/>
          <w:bCs/>
          <w:snapToGrid w:val="0"/>
          <w:color w:val="auto"/>
          <w:kern w:val="0"/>
          <w:sz w:val="24"/>
          <w:highlight w:val="none"/>
        </w:rPr>
        <w:t>1.</w:t>
      </w:r>
      <w:bookmarkEnd w:id="15"/>
      <w:r>
        <w:rPr>
          <w:rFonts w:hint="eastAsia" w:cs="仿宋_GB2312"/>
          <w:b/>
          <w:bCs/>
          <w:snapToGrid w:val="0"/>
          <w:color w:val="auto"/>
          <w:kern w:val="0"/>
          <w:sz w:val="24"/>
          <w:highlight w:val="none"/>
        </w:rPr>
        <w:t>9投标费用</w:t>
      </w:r>
    </w:p>
    <w:p w14:paraId="050D99C8">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1.9.1投标人在投标过程中的一切费用，不论中标与否，均由投标人自理。</w:t>
      </w:r>
    </w:p>
    <w:p w14:paraId="75D1434D">
      <w:pPr>
        <w:pStyle w:val="5"/>
        <w:rPr>
          <w:rFonts w:ascii="Times New Roman" w:hAnsi="Times New Roman" w:eastAsia="仿宋_GB2312" w:cs="仿宋_GB2312"/>
          <w:snapToGrid w:val="0"/>
          <w:color w:val="auto"/>
          <w:sz w:val="24"/>
          <w:szCs w:val="24"/>
          <w:highlight w:val="none"/>
        </w:rPr>
      </w:pPr>
      <w:bookmarkStart w:id="16" w:name="_Toc152042312"/>
      <w:bookmarkStart w:id="17" w:name="_Toc246996181"/>
      <w:bookmarkStart w:id="18" w:name="_Toc247085695"/>
      <w:bookmarkStart w:id="19" w:name="_Toc296602426"/>
      <w:bookmarkStart w:id="20" w:name="_Toc179632553"/>
      <w:bookmarkStart w:id="21" w:name="_Toc152045536"/>
      <w:bookmarkStart w:id="22" w:name="_Toc246996924"/>
      <w:bookmarkStart w:id="23" w:name="_Toc144974504"/>
      <w:r>
        <w:rPr>
          <w:rFonts w:hint="eastAsia" w:ascii="Times New Roman" w:hAnsi="Times New Roman" w:eastAsia="仿宋_GB2312" w:cs="仿宋_GB2312"/>
          <w:snapToGrid w:val="0"/>
          <w:color w:val="auto"/>
          <w:sz w:val="24"/>
          <w:szCs w:val="24"/>
          <w:highlight w:val="none"/>
        </w:rPr>
        <w:t>1.10保密</w:t>
      </w:r>
      <w:bookmarkEnd w:id="16"/>
      <w:bookmarkEnd w:id="17"/>
      <w:bookmarkEnd w:id="18"/>
      <w:bookmarkEnd w:id="19"/>
      <w:bookmarkEnd w:id="20"/>
      <w:bookmarkEnd w:id="21"/>
      <w:bookmarkEnd w:id="22"/>
      <w:bookmarkEnd w:id="23"/>
    </w:p>
    <w:p w14:paraId="780FE345">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1.10.1参加招标投标活动的各方应对招投标过程中应当保密的信息资料及招标文件、投标文件中的商业和技术秘密保密，否则应承担相应的法律责任。</w:t>
      </w:r>
    </w:p>
    <w:p w14:paraId="148EC97A">
      <w:pPr>
        <w:pStyle w:val="5"/>
        <w:rPr>
          <w:rFonts w:ascii="Times New Roman" w:hAnsi="Times New Roman" w:eastAsia="仿宋_GB2312" w:cs="仿宋_GB2312"/>
          <w:snapToGrid w:val="0"/>
          <w:color w:val="auto"/>
          <w:sz w:val="24"/>
          <w:szCs w:val="24"/>
          <w:highlight w:val="none"/>
        </w:rPr>
      </w:pPr>
      <w:r>
        <w:rPr>
          <w:rFonts w:hint="eastAsia" w:ascii="Times New Roman" w:hAnsi="Times New Roman" w:eastAsia="仿宋_GB2312" w:cs="仿宋_GB2312"/>
          <w:snapToGrid w:val="0"/>
          <w:color w:val="auto"/>
          <w:sz w:val="24"/>
          <w:szCs w:val="24"/>
          <w:highlight w:val="none"/>
        </w:rPr>
        <w:t>1.11语言文字</w:t>
      </w:r>
    </w:p>
    <w:p w14:paraId="44D40717">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1.11.1招标投标文件使用的语言文字为中文。专用术语使用外文的，应附有中文注释。</w:t>
      </w:r>
    </w:p>
    <w:p w14:paraId="1520D8EC">
      <w:pPr>
        <w:pStyle w:val="5"/>
        <w:rPr>
          <w:rFonts w:ascii="Times New Roman" w:hAnsi="Times New Roman" w:eastAsia="仿宋_GB2312" w:cs="仿宋_GB2312"/>
          <w:snapToGrid w:val="0"/>
          <w:color w:val="auto"/>
          <w:sz w:val="24"/>
          <w:szCs w:val="24"/>
          <w:highlight w:val="none"/>
        </w:rPr>
      </w:pPr>
      <w:bookmarkStart w:id="24" w:name="_bookmark28"/>
      <w:bookmarkEnd w:id="24"/>
      <w:r>
        <w:rPr>
          <w:rFonts w:hint="eastAsia" w:ascii="Times New Roman" w:hAnsi="Times New Roman" w:eastAsia="仿宋_GB2312" w:cs="仿宋_GB2312"/>
          <w:snapToGrid w:val="0"/>
          <w:color w:val="auto"/>
          <w:sz w:val="24"/>
          <w:szCs w:val="24"/>
          <w:highlight w:val="none"/>
        </w:rPr>
        <w:t>1.12计量单位</w:t>
      </w:r>
    </w:p>
    <w:p w14:paraId="282E87DD">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1.12.1所有计量均采用中华人民共和国法定计量单位。</w:t>
      </w:r>
    </w:p>
    <w:p w14:paraId="1C1EF09F">
      <w:pPr>
        <w:pStyle w:val="5"/>
        <w:rPr>
          <w:rFonts w:ascii="Times New Roman" w:hAnsi="Times New Roman" w:eastAsia="仿宋_GB2312" w:cs="仿宋_GB2312"/>
          <w:snapToGrid w:val="0"/>
          <w:color w:val="auto"/>
          <w:sz w:val="24"/>
          <w:szCs w:val="24"/>
          <w:highlight w:val="none"/>
        </w:rPr>
      </w:pPr>
      <w:r>
        <w:rPr>
          <w:rFonts w:hint="eastAsia" w:ascii="Times New Roman" w:hAnsi="Times New Roman" w:eastAsia="仿宋_GB2312" w:cs="仿宋_GB2312"/>
          <w:snapToGrid w:val="0"/>
          <w:color w:val="auto"/>
          <w:sz w:val="24"/>
          <w:szCs w:val="24"/>
          <w:highlight w:val="none"/>
        </w:rPr>
        <w:t>1.13标准时间</w:t>
      </w:r>
    </w:p>
    <w:p w14:paraId="6A01B43D">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1.13.1本招标文件中出现的时间均指北京时间。</w:t>
      </w:r>
    </w:p>
    <w:p w14:paraId="5E6C7601">
      <w:pPr>
        <w:snapToGrid w:val="0"/>
        <w:spacing w:line="360" w:lineRule="auto"/>
        <w:jc w:val="center"/>
        <w:outlineLvl w:val="1"/>
        <w:rPr>
          <w:rFonts w:cs="仿宋_GB2312"/>
          <w:b/>
          <w:snapToGrid w:val="0"/>
          <w:color w:val="auto"/>
          <w:kern w:val="0"/>
          <w:sz w:val="24"/>
          <w:highlight w:val="none"/>
        </w:rPr>
      </w:pPr>
      <w:bookmarkStart w:id="25" w:name="_Toc143421657"/>
      <w:bookmarkStart w:id="26" w:name="_Toc26219"/>
      <w:bookmarkStart w:id="27" w:name="_Toc15241"/>
      <w:bookmarkStart w:id="28" w:name="_Toc83886016"/>
      <w:bookmarkStart w:id="29" w:name="_Toc12971"/>
      <w:r>
        <w:rPr>
          <w:rFonts w:hint="eastAsia" w:cs="仿宋_GB2312"/>
          <w:b/>
          <w:snapToGrid w:val="0"/>
          <w:color w:val="auto"/>
          <w:kern w:val="0"/>
          <w:sz w:val="24"/>
          <w:highlight w:val="none"/>
        </w:rPr>
        <w:t>2、招标文件</w:t>
      </w:r>
      <w:bookmarkEnd w:id="25"/>
      <w:bookmarkEnd w:id="26"/>
      <w:bookmarkEnd w:id="27"/>
      <w:bookmarkEnd w:id="28"/>
      <w:bookmarkEnd w:id="29"/>
    </w:p>
    <w:p w14:paraId="01F7E925">
      <w:pPr>
        <w:keepNext/>
        <w:keepLines/>
        <w:adjustRightInd w:val="0"/>
        <w:snapToGrid w:val="0"/>
        <w:spacing w:line="360" w:lineRule="auto"/>
        <w:jc w:val="left"/>
        <w:outlineLvl w:val="2"/>
        <w:rPr>
          <w:rFonts w:cs="仿宋_GB2312"/>
          <w:b/>
          <w:bCs/>
          <w:snapToGrid w:val="0"/>
          <w:color w:val="auto"/>
          <w:kern w:val="0"/>
          <w:sz w:val="24"/>
          <w:highlight w:val="none"/>
        </w:rPr>
      </w:pPr>
      <w:bookmarkStart w:id="30" w:name="_Toc1426"/>
      <w:r>
        <w:rPr>
          <w:rFonts w:hint="eastAsia" w:cs="仿宋_GB2312"/>
          <w:b/>
          <w:bCs/>
          <w:snapToGrid w:val="0"/>
          <w:color w:val="auto"/>
          <w:kern w:val="0"/>
          <w:sz w:val="24"/>
          <w:highlight w:val="none"/>
        </w:rPr>
        <w:t>2.1招标文件的组成</w:t>
      </w:r>
      <w:bookmarkEnd w:id="30"/>
    </w:p>
    <w:p w14:paraId="1EB7EFAF">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本招标文件包括：</w:t>
      </w:r>
    </w:p>
    <w:p w14:paraId="1172CBBF">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（1）招标公告；</w:t>
      </w:r>
    </w:p>
    <w:p w14:paraId="7BFF0738">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（2）投标人须知；</w:t>
      </w:r>
    </w:p>
    <w:p w14:paraId="01C4EF53">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（3）用户需求及技术要求；</w:t>
      </w:r>
    </w:p>
    <w:p w14:paraId="7B1DFFEA">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（4）评标方法及评价标准；</w:t>
      </w:r>
    </w:p>
    <w:p w14:paraId="48EFC020">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（5）投标文件格式；</w:t>
      </w:r>
    </w:p>
    <w:p w14:paraId="30AA6FCE">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（6）合同条款及格式（仅供参考）；</w:t>
      </w:r>
    </w:p>
    <w:p w14:paraId="1590060F">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（7）投标人须知前附表规定的其他材料。</w:t>
      </w:r>
    </w:p>
    <w:p w14:paraId="51452738">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根据本须知第2.3款对招标文件做出的澄清、修改、答复内容，共同构成招标文件的组成部分。</w:t>
      </w:r>
    </w:p>
    <w:p w14:paraId="64FE6AE7">
      <w:pPr>
        <w:spacing w:line="360" w:lineRule="auto"/>
        <w:ind w:firstLine="480" w:firstLineChars="200"/>
        <w:rPr>
          <w:rFonts w:cs="仿宋_GB2312"/>
          <w:snapToGrid w:val="0"/>
          <w:color w:val="auto"/>
          <w:kern w:val="0"/>
          <w:sz w:val="24"/>
          <w:highlight w:val="none"/>
          <w:lang w:val="zh-CN"/>
        </w:rPr>
      </w:pPr>
      <w:r>
        <w:rPr>
          <w:rFonts w:hint="eastAsia" w:cs="仿宋_GB2312"/>
          <w:snapToGrid w:val="0"/>
          <w:color w:val="auto"/>
          <w:kern w:val="0"/>
          <w:sz w:val="24"/>
          <w:highlight w:val="none"/>
          <w:lang w:val="zh-CN"/>
        </w:rPr>
        <w:t>除上述所列内容外，招标人的任何工作人员对投标人所作的任何口头解释、介绍、答复，只能供投标人参考，对招标人和投标人无任何约束力。</w:t>
      </w:r>
    </w:p>
    <w:p w14:paraId="0F581EC6">
      <w:pPr>
        <w:pStyle w:val="9"/>
        <w:adjustRightInd w:val="0"/>
        <w:snapToGrid w:val="0"/>
        <w:spacing w:after="0" w:line="360" w:lineRule="auto"/>
        <w:jc w:val="left"/>
        <w:rPr>
          <w:rFonts w:eastAsia="仿宋_GB2312" w:cs="仿宋_GB2312"/>
          <w:b/>
          <w:bCs/>
          <w:snapToGrid w:val="0"/>
          <w:color w:val="auto"/>
          <w:kern w:val="0"/>
          <w:sz w:val="24"/>
          <w:szCs w:val="24"/>
          <w:highlight w:val="none"/>
        </w:rPr>
      </w:pPr>
      <w:r>
        <w:rPr>
          <w:rFonts w:hint="eastAsia" w:eastAsia="仿宋_GB2312" w:cs="仿宋_GB2312"/>
          <w:b/>
          <w:bCs/>
          <w:snapToGrid w:val="0"/>
          <w:color w:val="auto"/>
          <w:kern w:val="0"/>
          <w:sz w:val="24"/>
          <w:szCs w:val="24"/>
          <w:highlight w:val="none"/>
        </w:rPr>
        <w:t>2.2招标文件的获取</w:t>
      </w:r>
    </w:p>
    <w:p w14:paraId="42A15943">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2.2.1招标文件的获取方式、要求：见投标人须知前附表。</w:t>
      </w:r>
    </w:p>
    <w:p w14:paraId="42EA362F">
      <w:pPr>
        <w:keepNext/>
        <w:keepLines/>
        <w:adjustRightInd w:val="0"/>
        <w:snapToGrid w:val="0"/>
        <w:spacing w:line="360" w:lineRule="auto"/>
        <w:jc w:val="left"/>
        <w:outlineLvl w:val="2"/>
        <w:rPr>
          <w:rFonts w:cs="仿宋_GB2312"/>
          <w:b/>
          <w:bCs/>
          <w:snapToGrid w:val="0"/>
          <w:color w:val="auto"/>
          <w:kern w:val="0"/>
          <w:sz w:val="24"/>
          <w:highlight w:val="none"/>
        </w:rPr>
      </w:pPr>
      <w:bookmarkStart w:id="31" w:name="_Toc18230"/>
      <w:r>
        <w:rPr>
          <w:rFonts w:hint="eastAsia" w:cs="仿宋_GB2312"/>
          <w:b/>
          <w:bCs/>
          <w:snapToGrid w:val="0"/>
          <w:color w:val="auto"/>
          <w:kern w:val="0"/>
          <w:sz w:val="24"/>
          <w:highlight w:val="none"/>
        </w:rPr>
        <w:t>2.3招标文件的澄清</w:t>
      </w:r>
      <w:bookmarkEnd w:id="31"/>
      <w:r>
        <w:rPr>
          <w:rFonts w:hint="eastAsia" w:cs="仿宋_GB2312"/>
          <w:b/>
          <w:bCs/>
          <w:snapToGrid w:val="0"/>
          <w:color w:val="auto"/>
          <w:kern w:val="0"/>
          <w:sz w:val="24"/>
          <w:highlight w:val="none"/>
        </w:rPr>
        <w:t>和修改</w:t>
      </w:r>
    </w:p>
    <w:p w14:paraId="2E2D708F">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2.3.1投标人在获取招标文件后，对招标文件任何部分若有任何疑问，应按投标人须知前附表规定的“对招标文件提出问题截止时间、方式”，要求招标人对招标文件予以澄清。</w:t>
      </w:r>
    </w:p>
    <w:p w14:paraId="2043DC5E">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6669C163">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2.3.3除非招标人认为确有必要答复，否则，招标人有权拒绝回复投标人在本章第2.3.1项规定的时间后的任何澄清要求。</w:t>
      </w:r>
    </w:p>
    <w:p w14:paraId="022CD87F">
      <w:pPr>
        <w:snapToGrid w:val="0"/>
        <w:spacing w:line="360" w:lineRule="auto"/>
        <w:jc w:val="center"/>
        <w:outlineLvl w:val="1"/>
        <w:rPr>
          <w:rFonts w:cs="仿宋_GB2312"/>
          <w:b/>
          <w:snapToGrid w:val="0"/>
          <w:color w:val="auto"/>
          <w:kern w:val="0"/>
          <w:sz w:val="24"/>
          <w:highlight w:val="none"/>
        </w:rPr>
      </w:pPr>
      <w:bookmarkStart w:id="32" w:name="_Toc18870"/>
      <w:bookmarkStart w:id="33" w:name="_Toc26730"/>
      <w:bookmarkStart w:id="34" w:name="_Toc143421658"/>
      <w:bookmarkStart w:id="35" w:name="_Toc83886017"/>
      <w:bookmarkStart w:id="36" w:name="_Toc8810"/>
      <w:r>
        <w:rPr>
          <w:rFonts w:hint="eastAsia" w:cs="仿宋_GB2312"/>
          <w:b/>
          <w:snapToGrid w:val="0"/>
          <w:color w:val="auto"/>
          <w:kern w:val="0"/>
          <w:sz w:val="24"/>
          <w:highlight w:val="none"/>
        </w:rPr>
        <w:t>3、投标文件</w:t>
      </w:r>
      <w:bookmarkEnd w:id="32"/>
      <w:bookmarkEnd w:id="33"/>
      <w:bookmarkEnd w:id="34"/>
      <w:bookmarkEnd w:id="35"/>
      <w:bookmarkEnd w:id="36"/>
    </w:p>
    <w:p w14:paraId="0D7A3856">
      <w:pPr>
        <w:keepNext/>
        <w:keepLines/>
        <w:adjustRightInd w:val="0"/>
        <w:snapToGrid w:val="0"/>
        <w:spacing w:line="360" w:lineRule="auto"/>
        <w:jc w:val="left"/>
        <w:outlineLvl w:val="2"/>
        <w:rPr>
          <w:rFonts w:cs="仿宋_GB2312"/>
          <w:b/>
          <w:bCs/>
          <w:snapToGrid w:val="0"/>
          <w:color w:val="auto"/>
          <w:kern w:val="0"/>
          <w:sz w:val="24"/>
          <w:highlight w:val="none"/>
        </w:rPr>
      </w:pPr>
      <w:bookmarkStart w:id="37" w:name="_Toc1411"/>
      <w:bookmarkStart w:id="38" w:name="_Toc32652"/>
      <w:bookmarkStart w:id="39" w:name="_Toc143421659"/>
      <w:r>
        <w:rPr>
          <w:rFonts w:hint="eastAsia" w:cs="仿宋_GB2312"/>
          <w:b/>
          <w:bCs/>
          <w:snapToGrid w:val="0"/>
          <w:color w:val="auto"/>
          <w:kern w:val="0"/>
          <w:sz w:val="24"/>
          <w:highlight w:val="none"/>
        </w:rPr>
        <w:t>3.1投标文件的组成</w:t>
      </w:r>
      <w:bookmarkEnd w:id="37"/>
    </w:p>
    <w:p w14:paraId="24CFF790">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3.1.1 投标文件的组成：见投标人须知前附表。</w:t>
      </w:r>
    </w:p>
    <w:p w14:paraId="59592242">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投标人在评标过程中作出的符合法律法规和招标文件规定的澄清确认，构成投标文件的组成部分。</w:t>
      </w:r>
    </w:p>
    <w:p w14:paraId="4B841ABD">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3.1.2投标人须知前附表规定不接受联合体投标的，或投标人没有组成联合体的，投标文件不包括投标人须知前附表所指的联合体协议书。</w:t>
      </w:r>
    </w:p>
    <w:p w14:paraId="2602998E">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3.1.3投标人须知前附表未要求提交投标保证金的，投标文件不包括投标人须知前附表所指的投标保证金缴存证明。</w:t>
      </w:r>
    </w:p>
    <w:p w14:paraId="4CC9AEB5">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3.2资格审查资料</w:t>
      </w:r>
    </w:p>
    <w:p w14:paraId="70403296">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3.2.1投标人应按本章第1.4款要求提供相关资格审查资料。</w:t>
      </w:r>
    </w:p>
    <w:p w14:paraId="69E1A6B7">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3.2.2“资格文件”中的“营业执照”等复印件是指：</w:t>
      </w:r>
    </w:p>
    <w:p w14:paraId="10C5AEFF">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投标人根据企业、非企业性质不同，可分别提供营业执照、事业单位法人证书、社会团体法人登记证书或其他组织登记证明文件的复印件；</w:t>
      </w:r>
    </w:p>
    <w:p w14:paraId="0AD7316D">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7C8FCC54">
      <w:pPr>
        <w:keepNext/>
        <w:keepLines/>
        <w:adjustRightInd w:val="0"/>
        <w:snapToGrid w:val="0"/>
        <w:spacing w:line="360" w:lineRule="auto"/>
        <w:jc w:val="left"/>
        <w:outlineLvl w:val="2"/>
        <w:rPr>
          <w:rFonts w:cs="仿宋_GB2312"/>
          <w:b/>
          <w:bCs/>
          <w:snapToGrid w:val="0"/>
          <w:color w:val="auto"/>
          <w:kern w:val="0"/>
          <w:sz w:val="24"/>
          <w:highlight w:val="none"/>
        </w:rPr>
      </w:pPr>
      <w:bookmarkStart w:id="40" w:name="_Toc32225"/>
      <w:r>
        <w:rPr>
          <w:rFonts w:hint="eastAsia" w:cs="仿宋_GB2312"/>
          <w:b/>
          <w:bCs/>
          <w:snapToGrid w:val="0"/>
          <w:color w:val="auto"/>
          <w:kern w:val="0"/>
          <w:sz w:val="24"/>
          <w:highlight w:val="none"/>
        </w:rPr>
        <w:t>3.3投标报价</w:t>
      </w:r>
      <w:bookmarkEnd w:id="40"/>
    </w:p>
    <w:p w14:paraId="339EB963">
      <w:pPr>
        <w:snapToGrid w:val="0"/>
        <w:spacing w:line="360" w:lineRule="auto"/>
        <w:ind w:firstLine="480" w:firstLineChars="200"/>
        <w:jc w:val="left"/>
        <w:rPr>
          <w:rFonts w:cs="仿宋_GB2312"/>
          <w:snapToGrid w:val="0"/>
          <w:color w:val="auto"/>
          <w:kern w:val="0"/>
          <w:sz w:val="24"/>
          <w:highlight w:val="none"/>
        </w:rPr>
      </w:pPr>
      <w:bookmarkStart w:id="41" w:name="_Toc13307"/>
      <w:r>
        <w:rPr>
          <w:rFonts w:hint="eastAsia" w:cs="仿宋_GB2312"/>
          <w:snapToGrid w:val="0"/>
          <w:color w:val="auto"/>
          <w:kern w:val="0"/>
          <w:sz w:val="24"/>
          <w:highlight w:val="none"/>
        </w:rPr>
        <w:t>3.3.1投标人应按第五章“投标文件格式”的要求在“投标函”中进行报价。</w:t>
      </w:r>
      <w:r>
        <w:rPr>
          <w:rFonts w:hint="eastAsia" w:cs="仿宋_GB2312"/>
          <w:color w:val="auto"/>
          <w:sz w:val="24"/>
          <w:highlight w:val="none"/>
        </w:rPr>
        <w:t>有关本项目建设或采购所需的所有费用均计入报价。</w:t>
      </w:r>
      <w:r>
        <w:rPr>
          <w:rFonts w:hint="eastAsia" w:cs="仿宋_GB2312"/>
          <w:snapToGrid w:val="0"/>
          <w:color w:val="auto"/>
          <w:kern w:val="0"/>
          <w:sz w:val="24"/>
          <w:highlight w:val="none"/>
        </w:rPr>
        <w:t>投标文件中价格全部采用人民币报价。</w:t>
      </w:r>
    </w:p>
    <w:p w14:paraId="6B3AE301">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3.3.2投标人应充分了解该项目的总体情况以及影响投标报价的其他要素。</w:t>
      </w:r>
    </w:p>
    <w:p w14:paraId="4D23879C">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3.3.3招标人设有最高投标限价的，投标人的投标报价不得超过最高投标限价，最高投标限价在投标人须知前附表中载明。</w:t>
      </w:r>
    </w:p>
    <w:p w14:paraId="67165B63">
      <w:pPr>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3.3.4投标报价的具体要求详见第三章“用户需求及技术要求”。</w:t>
      </w:r>
    </w:p>
    <w:bookmarkEnd w:id="41"/>
    <w:p w14:paraId="5FBCDE7F">
      <w:pPr>
        <w:keepNext/>
        <w:keepLines/>
        <w:adjustRightInd w:val="0"/>
        <w:snapToGrid w:val="0"/>
        <w:spacing w:line="360" w:lineRule="auto"/>
        <w:jc w:val="left"/>
        <w:outlineLvl w:val="2"/>
        <w:rPr>
          <w:rFonts w:cs="仿宋_GB2312"/>
          <w:b/>
          <w:bCs/>
          <w:snapToGrid w:val="0"/>
          <w:color w:val="auto"/>
          <w:kern w:val="0"/>
          <w:sz w:val="24"/>
          <w:highlight w:val="none"/>
        </w:rPr>
      </w:pPr>
      <w:bookmarkStart w:id="42" w:name="_Toc29989"/>
      <w:r>
        <w:rPr>
          <w:rFonts w:hint="eastAsia" w:cs="仿宋_GB2312"/>
          <w:b/>
          <w:bCs/>
          <w:snapToGrid w:val="0"/>
          <w:color w:val="auto"/>
          <w:kern w:val="0"/>
          <w:sz w:val="24"/>
          <w:highlight w:val="none"/>
        </w:rPr>
        <w:t>3.4投标文件的编制</w:t>
      </w:r>
      <w:bookmarkEnd w:id="42"/>
    </w:p>
    <w:p w14:paraId="6BB09FCD">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71EF6A5D">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3.4.2投标人按投标人须知前附表规定的份数编制投标文件。投标文件的正本和副本均需打印或使用不褪色的墨水笔书写，字迹应清晰易于辨认。正本和副本的封面右上角应清楚地标记“正本”或“副本”的字样。投标人应根据前附表要求提供电子版文件。当副本和正本不一致或电子版文件和纸质正本文件不一致时，以纸质正本文件为准。</w:t>
      </w:r>
    </w:p>
    <w:p w14:paraId="08D06B66">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3EB4D40A">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3.4.4 投标文件按照招标文件第五章格式要求进行签署、盖章。投标文件封面、投标函均应加盖</w:t>
      </w:r>
      <w:r>
        <w:rPr>
          <w:rFonts w:hint="eastAsia" w:eastAsia="仿宋_GB2312" w:cs="仿宋_GB2312"/>
          <w:snapToGrid w:val="0"/>
          <w:color w:val="auto"/>
          <w:sz w:val="24"/>
          <w:szCs w:val="24"/>
          <w:highlight w:val="none"/>
        </w:rPr>
        <w:t>投标人单位公章</w:t>
      </w:r>
      <w:r>
        <w:rPr>
          <w:rFonts w:hint="eastAsia" w:eastAsia="仿宋_GB2312" w:cs="仿宋_GB2312"/>
          <w:snapToGrid w:val="0"/>
          <w:color w:val="auto"/>
          <w:kern w:val="0"/>
          <w:sz w:val="24"/>
          <w:szCs w:val="24"/>
          <w:highlight w:val="none"/>
        </w:rPr>
        <w:t>并经法定代表人或其委托代理人签字或盖</w:t>
      </w:r>
      <w:r>
        <w:rPr>
          <w:rFonts w:hint="eastAsia" w:eastAsia="仿宋_GB2312" w:cs="仿宋_GB2312"/>
          <w:snapToGrid w:val="0"/>
          <w:color w:val="auto"/>
          <w:sz w:val="24"/>
          <w:szCs w:val="24"/>
          <w:highlight w:val="none"/>
        </w:rPr>
        <w:t>投标人单位公章</w:t>
      </w:r>
      <w:r>
        <w:rPr>
          <w:rFonts w:hint="eastAsia" w:eastAsia="仿宋_GB2312" w:cs="仿宋_GB2312"/>
          <w:snapToGrid w:val="0"/>
          <w:color w:val="auto"/>
          <w:kern w:val="0"/>
          <w:sz w:val="24"/>
          <w:szCs w:val="24"/>
          <w:highlight w:val="none"/>
        </w:rPr>
        <w:t>。由委托代理人签字或盖</w:t>
      </w:r>
      <w:r>
        <w:rPr>
          <w:rFonts w:hint="eastAsia" w:eastAsia="仿宋_GB2312" w:cs="仿宋_GB2312"/>
          <w:snapToGrid w:val="0"/>
          <w:color w:val="auto"/>
          <w:sz w:val="24"/>
          <w:szCs w:val="24"/>
          <w:highlight w:val="none"/>
        </w:rPr>
        <w:t>投标人单位公章</w:t>
      </w:r>
      <w:r>
        <w:rPr>
          <w:rFonts w:hint="eastAsia" w:eastAsia="仿宋_GB2312" w:cs="仿宋_GB2312"/>
          <w:snapToGrid w:val="0"/>
          <w:color w:val="auto"/>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eastAsia="仿宋_GB2312" w:cs="仿宋_GB2312"/>
          <w:snapToGrid w:val="0"/>
          <w:color w:val="auto"/>
          <w:sz w:val="24"/>
          <w:szCs w:val="24"/>
          <w:highlight w:val="none"/>
        </w:rPr>
        <w:t>投标人单位公章</w:t>
      </w:r>
      <w:r>
        <w:rPr>
          <w:rFonts w:hint="eastAsia" w:eastAsia="仿宋_GB2312" w:cs="仿宋_GB2312"/>
          <w:snapToGrid w:val="0"/>
          <w:color w:val="auto"/>
          <w:kern w:val="0"/>
          <w:sz w:val="24"/>
          <w:szCs w:val="24"/>
          <w:highlight w:val="none"/>
        </w:rPr>
        <w:t>、注明日期予以确认。</w:t>
      </w:r>
    </w:p>
    <w:p w14:paraId="3A374F03">
      <w:pPr>
        <w:adjustRightInd w:val="0"/>
        <w:snapToGrid w:val="0"/>
        <w:spacing w:line="360" w:lineRule="auto"/>
        <w:ind w:firstLine="482" w:firstLineChars="200"/>
        <w:jc w:val="center"/>
        <w:outlineLvl w:val="1"/>
        <w:rPr>
          <w:rFonts w:cs="仿宋_GB2312"/>
          <w:b/>
          <w:snapToGrid w:val="0"/>
          <w:color w:val="auto"/>
          <w:kern w:val="0"/>
          <w:sz w:val="24"/>
          <w:highlight w:val="none"/>
        </w:rPr>
      </w:pPr>
      <w:bookmarkStart w:id="43" w:name="_Toc83886018"/>
      <w:bookmarkStart w:id="44" w:name="_Toc13653"/>
      <w:bookmarkStart w:id="45" w:name="_Toc24365"/>
      <w:r>
        <w:rPr>
          <w:rFonts w:hint="eastAsia" w:cs="仿宋_GB2312"/>
          <w:b/>
          <w:snapToGrid w:val="0"/>
          <w:color w:val="auto"/>
          <w:kern w:val="0"/>
          <w:sz w:val="24"/>
          <w:highlight w:val="none"/>
        </w:rPr>
        <w:t>4、投标</w:t>
      </w:r>
      <w:bookmarkEnd w:id="43"/>
      <w:bookmarkEnd w:id="44"/>
      <w:bookmarkEnd w:id="45"/>
    </w:p>
    <w:bookmarkEnd w:id="38"/>
    <w:bookmarkEnd w:id="39"/>
    <w:p w14:paraId="76DEF596">
      <w:pPr>
        <w:adjustRightInd w:val="0"/>
        <w:snapToGrid w:val="0"/>
        <w:spacing w:line="360" w:lineRule="auto"/>
        <w:jc w:val="left"/>
        <w:rPr>
          <w:rFonts w:cs="仿宋_GB2312"/>
          <w:b/>
          <w:bCs/>
          <w:snapToGrid w:val="0"/>
          <w:color w:val="auto"/>
          <w:kern w:val="0"/>
          <w:sz w:val="24"/>
          <w:highlight w:val="none"/>
        </w:rPr>
      </w:pPr>
      <w:bookmarkStart w:id="46" w:name="_Toc649"/>
      <w:r>
        <w:rPr>
          <w:rFonts w:hint="eastAsia" w:cs="仿宋_GB2312"/>
          <w:b/>
          <w:bCs/>
          <w:snapToGrid w:val="0"/>
          <w:color w:val="auto"/>
          <w:kern w:val="0"/>
          <w:sz w:val="24"/>
          <w:highlight w:val="none"/>
        </w:rPr>
        <w:t>4.1 踏勘现场（详见前附表）</w:t>
      </w:r>
    </w:p>
    <w:p w14:paraId="628070FA">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4.1.1 投标人须知前附表规定组织踏勘现场的，招标人按投标人须知前附表规定的时间、地点组织投标人踏勘项目现场。未参加现场踏勘不作为否定投标人资格的理由。</w:t>
      </w:r>
    </w:p>
    <w:p w14:paraId="747B1FD4">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4.1.2 投标人踏勘现场发生的费用自理。 除招标人的原因外，投标人自行负责在踏勘现场中所发生的人员伤亡和财产损失。</w:t>
      </w:r>
    </w:p>
    <w:p w14:paraId="3280EF45">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4.1.3 招标人在踏勘现场中介绍的项目情况和提供的资料，仅供投标人在编制投标文件时参考，招标人不对投标人据此作出的判断和决策负责。</w:t>
      </w:r>
    </w:p>
    <w:p w14:paraId="1767E93C">
      <w:pPr>
        <w:pStyle w:val="9"/>
        <w:adjustRightInd w:val="0"/>
        <w:snapToGrid w:val="0"/>
        <w:spacing w:after="0" w:line="360" w:lineRule="auto"/>
        <w:jc w:val="left"/>
        <w:rPr>
          <w:rFonts w:eastAsia="仿宋_GB2312" w:cs="仿宋_GB2312"/>
          <w:b/>
          <w:bCs/>
          <w:snapToGrid w:val="0"/>
          <w:color w:val="auto"/>
          <w:kern w:val="0"/>
          <w:sz w:val="24"/>
          <w:szCs w:val="24"/>
          <w:highlight w:val="none"/>
        </w:rPr>
      </w:pPr>
      <w:r>
        <w:rPr>
          <w:rFonts w:hint="eastAsia" w:eastAsia="仿宋_GB2312" w:cs="仿宋_GB2312"/>
          <w:b/>
          <w:bCs/>
          <w:snapToGrid w:val="0"/>
          <w:color w:val="auto"/>
          <w:kern w:val="0"/>
          <w:sz w:val="24"/>
          <w:szCs w:val="24"/>
          <w:highlight w:val="none"/>
        </w:rPr>
        <w:t>4.2 投标预备会（本项目不适用）</w:t>
      </w:r>
    </w:p>
    <w:p w14:paraId="086B5AFF">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198EA4F5">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105B06F3">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4.2.3招标人在投标预备会上所做出的澄清和解答，以书面答复为准，该答疑纪要文件构成招标文件的一部分，具有约束作用，并按第2.3.2项要求予以公布并通知。</w:t>
      </w:r>
    </w:p>
    <w:p w14:paraId="0F2657BF">
      <w:pPr>
        <w:keepNext/>
        <w:keepLines/>
        <w:adjustRightInd w:val="0"/>
        <w:snapToGrid w:val="0"/>
        <w:spacing w:line="360" w:lineRule="auto"/>
        <w:jc w:val="left"/>
        <w:outlineLvl w:val="2"/>
        <w:rPr>
          <w:rFonts w:cs="仿宋_GB2312"/>
          <w:b/>
          <w:bCs/>
          <w:snapToGrid w:val="0"/>
          <w:color w:val="auto"/>
          <w:kern w:val="0"/>
          <w:sz w:val="24"/>
          <w:highlight w:val="none"/>
        </w:rPr>
      </w:pPr>
      <w:bookmarkStart w:id="47" w:name="_Toc360398511"/>
      <w:bookmarkStart w:id="48" w:name="_Toc30464"/>
      <w:r>
        <w:rPr>
          <w:rFonts w:hint="eastAsia" w:cs="仿宋_GB2312"/>
          <w:b/>
          <w:bCs/>
          <w:snapToGrid w:val="0"/>
          <w:color w:val="auto"/>
          <w:kern w:val="0"/>
          <w:sz w:val="24"/>
          <w:highlight w:val="none"/>
        </w:rPr>
        <w:t>4.3 投标保证金</w:t>
      </w:r>
      <w:bookmarkEnd w:id="47"/>
      <w:bookmarkEnd w:id="48"/>
    </w:p>
    <w:p w14:paraId="4D00E818">
      <w:pPr>
        <w:widowControl/>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cs="仿宋_GB2312"/>
          <w:color w:val="auto"/>
          <w:kern w:val="0"/>
          <w:sz w:val="24"/>
          <w:highlight w:val="none"/>
          <w:lang w:bidi="ar"/>
        </w:rPr>
        <w:t>不予退还</w:t>
      </w:r>
      <w:r>
        <w:rPr>
          <w:rFonts w:hint="eastAsia" w:cs="仿宋_GB2312"/>
          <w:snapToGrid w:val="0"/>
          <w:color w:val="auto"/>
          <w:kern w:val="0"/>
          <w:sz w:val="24"/>
          <w:highlight w:val="none"/>
        </w:rPr>
        <w:t>。</w:t>
      </w:r>
    </w:p>
    <w:p w14:paraId="36D4B2EA">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4.3.2对于未能按要求提交投标保证金的投标，招标人将视为不响应招标文件而予以拒绝。</w:t>
      </w:r>
    </w:p>
    <w:p w14:paraId="18E09ED1">
      <w:pPr>
        <w:widowControl/>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4.3.3未中标的投标人的投标保证金将在中标公示期满后两周内予以</w:t>
      </w:r>
      <w:r>
        <w:rPr>
          <w:rFonts w:hint="eastAsia" w:cs="仿宋_GB2312"/>
          <w:color w:val="auto"/>
          <w:kern w:val="0"/>
          <w:sz w:val="24"/>
          <w:highlight w:val="none"/>
          <w:lang w:bidi="ar"/>
        </w:rPr>
        <w:t>无息</w:t>
      </w:r>
      <w:r>
        <w:rPr>
          <w:rFonts w:hint="eastAsia" w:cs="仿宋_GB2312"/>
          <w:snapToGrid w:val="0"/>
          <w:color w:val="auto"/>
          <w:kern w:val="0"/>
          <w:sz w:val="24"/>
          <w:highlight w:val="none"/>
        </w:rPr>
        <w:t>退还。</w:t>
      </w:r>
    </w:p>
    <w:p w14:paraId="7C39694D">
      <w:pPr>
        <w:widowControl/>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4.3.4中标人的投标保证金，在中标人签订合同后两周内予以</w:t>
      </w:r>
      <w:r>
        <w:rPr>
          <w:rFonts w:hint="eastAsia" w:cs="仿宋_GB2312"/>
          <w:color w:val="auto"/>
          <w:kern w:val="0"/>
          <w:sz w:val="24"/>
          <w:highlight w:val="none"/>
          <w:lang w:bidi="ar"/>
        </w:rPr>
        <w:t>无息</w:t>
      </w:r>
      <w:r>
        <w:rPr>
          <w:rFonts w:hint="eastAsia" w:cs="仿宋_GB2312"/>
          <w:snapToGrid w:val="0"/>
          <w:color w:val="auto"/>
          <w:kern w:val="0"/>
          <w:sz w:val="24"/>
          <w:highlight w:val="none"/>
        </w:rPr>
        <w:t>退还。</w:t>
      </w:r>
    </w:p>
    <w:p w14:paraId="4189A3B6">
      <w:pPr>
        <w:widowControl/>
        <w:adjustRightInd w:val="0"/>
        <w:snapToGrid w:val="0"/>
        <w:spacing w:line="360" w:lineRule="auto"/>
        <w:ind w:firstLine="480" w:firstLineChars="200"/>
        <w:rPr>
          <w:rFonts w:hint="default" w:eastAsia="仿宋_GB2312" w:cs="仿宋_GB2312"/>
          <w:snapToGrid w:val="0"/>
          <w:color w:val="auto"/>
          <w:kern w:val="0"/>
          <w:sz w:val="24"/>
          <w:highlight w:val="none"/>
          <w:lang w:val="en-US" w:eastAsia="zh-CN"/>
        </w:rPr>
      </w:pPr>
      <w:r>
        <w:rPr>
          <w:rFonts w:hint="eastAsia" w:cs="仿宋_GB2312"/>
          <w:snapToGrid w:val="0"/>
          <w:color w:val="auto"/>
          <w:kern w:val="0"/>
          <w:sz w:val="24"/>
          <w:highlight w:val="none"/>
        </w:rPr>
        <w:t>4.3.5如投标人有下列任何情况发生时，投标保证金将</w:t>
      </w:r>
      <w:r>
        <w:rPr>
          <w:rFonts w:hint="eastAsia" w:cs="仿宋_GB2312"/>
          <w:color w:val="auto"/>
          <w:kern w:val="0"/>
          <w:sz w:val="24"/>
          <w:highlight w:val="none"/>
          <w:lang w:bidi="ar"/>
        </w:rPr>
        <w:t>不予退还</w:t>
      </w:r>
      <w:r>
        <w:rPr>
          <w:rFonts w:hint="eastAsia" w:cs="仿宋_GB2312"/>
          <w:snapToGrid w:val="0"/>
          <w:color w:val="auto"/>
          <w:kern w:val="0"/>
          <w:sz w:val="24"/>
          <w:highlight w:val="none"/>
        </w:rPr>
        <w:t>：</w:t>
      </w:r>
    </w:p>
    <w:p w14:paraId="585A56F4">
      <w:pPr>
        <w:pStyle w:val="9"/>
        <w:numPr>
          <w:ilvl w:val="0"/>
          <w:numId w:val="1"/>
        </w:numPr>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在投标有效期内撤回投标文件的；</w:t>
      </w:r>
    </w:p>
    <w:p w14:paraId="1CC6C6AE">
      <w:pPr>
        <w:pStyle w:val="9"/>
        <w:numPr>
          <w:ilvl w:val="0"/>
          <w:numId w:val="1"/>
        </w:numPr>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拒绝接受投标文件中已确认的承诺或条款；</w:t>
      </w:r>
    </w:p>
    <w:p w14:paraId="10C0B43E">
      <w:pPr>
        <w:pStyle w:val="9"/>
        <w:numPr>
          <w:ilvl w:val="0"/>
          <w:numId w:val="1"/>
        </w:numPr>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中标人未能在规定期限内提交履约保证金或签署合同协议的；</w:t>
      </w:r>
    </w:p>
    <w:p w14:paraId="4BCF5663">
      <w:pPr>
        <w:pStyle w:val="9"/>
        <w:numPr>
          <w:ilvl w:val="0"/>
          <w:numId w:val="1"/>
        </w:numPr>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投标人提供虚假资料，经查实的；</w:t>
      </w:r>
    </w:p>
    <w:p w14:paraId="6C31DFB7">
      <w:pPr>
        <w:pStyle w:val="9"/>
        <w:numPr>
          <w:ilvl w:val="0"/>
          <w:numId w:val="1"/>
        </w:numPr>
        <w:adjustRightInd w:val="0"/>
        <w:snapToGrid w:val="0"/>
        <w:spacing w:after="0" w:line="360" w:lineRule="auto"/>
        <w:ind w:left="0" w:leftChars="0" w:firstLine="480" w:firstLineChars="200"/>
        <w:jc w:val="left"/>
        <w:rPr>
          <w:rFonts w:hint="eastAsia"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投标人在投标期间有串标、哄抬标价等违规违法行为</w:t>
      </w:r>
      <w:r>
        <w:rPr>
          <w:rFonts w:hint="eastAsia" w:eastAsia="仿宋_GB2312" w:cs="仿宋_GB2312"/>
          <w:snapToGrid w:val="0"/>
          <w:color w:val="auto"/>
          <w:kern w:val="0"/>
          <w:sz w:val="24"/>
          <w:szCs w:val="24"/>
          <w:highlight w:val="none"/>
          <w:lang w:eastAsia="zh-CN"/>
        </w:rPr>
        <w:t>；</w:t>
      </w:r>
    </w:p>
    <w:p w14:paraId="4F2888E4">
      <w:pPr>
        <w:pStyle w:val="9"/>
        <w:numPr>
          <w:ilvl w:val="0"/>
          <w:numId w:val="1"/>
        </w:numPr>
        <w:adjustRightInd w:val="0"/>
        <w:snapToGrid w:val="0"/>
        <w:spacing w:after="0" w:line="360" w:lineRule="auto"/>
        <w:ind w:left="0" w:leftChars="0" w:firstLine="480" w:firstLineChars="200"/>
        <w:jc w:val="left"/>
        <w:rPr>
          <w:rFonts w:hint="eastAsia"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lang w:val="en-US" w:eastAsia="zh-CN"/>
        </w:rPr>
        <w:t>其他法律规定。</w:t>
      </w:r>
    </w:p>
    <w:p w14:paraId="506061D2">
      <w:pPr>
        <w:keepNext/>
        <w:keepLines/>
        <w:adjustRightInd w:val="0"/>
        <w:snapToGrid w:val="0"/>
        <w:spacing w:line="360" w:lineRule="auto"/>
        <w:jc w:val="left"/>
        <w:outlineLvl w:val="2"/>
        <w:rPr>
          <w:rFonts w:cs="仿宋_GB2312"/>
          <w:snapToGrid w:val="0"/>
          <w:color w:val="auto"/>
          <w:kern w:val="0"/>
          <w:sz w:val="24"/>
          <w:highlight w:val="none"/>
        </w:rPr>
      </w:pPr>
      <w:r>
        <w:rPr>
          <w:rFonts w:hint="eastAsia" w:cs="仿宋_GB2312"/>
          <w:b/>
          <w:bCs/>
          <w:snapToGrid w:val="0"/>
          <w:color w:val="auto"/>
          <w:kern w:val="0"/>
          <w:sz w:val="24"/>
          <w:highlight w:val="none"/>
        </w:rPr>
        <w:t>4.4投标样品</w:t>
      </w:r>
    </w:p>
    <w:p w14:paraId="1C959653">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4.4.1本项目投标样品提供的要求：见投标人须知前附表。</w:t>
      </w:r>
    </w:p>
    <w:p w14:paraId="31B4AA3F">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4.5投标文件的密封和标识</w:t>
      </w:r>
      <w:bookmarkEnd w:id="46"/>
    </w:p>
    <w:p w14:paraId="7AF40049">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bookmarkStart w:id="49" w:name="_Toc16616"/>
      <w:r>
        <w:rPr>
          <w:rFonts w:hint="eastAsia" w:eastAsia="仿宋_GB2312" w:cs="仿宋_GB2312"/>
          <w:snapToGrid w:val="0"/>
          <w:color w:val="auto"/>
          <w:kern w:val="0"/>
          <w:sz w:val="24"/>
          <w:szCs w:val="24"/>
          <w:highlight w:val="none"/>
        </w:rPr>
        <w:t>4.5.1投标文件必须密封包装，并在封套的封口处加盖投标人单位公章或由投标人的法定代表人或其授权的代理人签字。</w:t>
      </w:r>
    </w:p>
    <w:p w14:paraId="7DBBE2B5">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4.5.2投标文件封套上应写明的内容见投标人须知前附表。</w:t>
      </w:r>
    </w:p>
    <w:p w14:paraId="2BF53310">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4.5.3未按本章第4.7.2项要求填写内容的投标文件，招标人将不承担投标文件错放或提前开封导致投标被拒绝的责任。</w:t>
      </w:r>
    </w:p>
    <w:p w14:paraId="78B4C9A5">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4.6投标文件的递交</w:t>
      </w:r>
      <w:bookmarkEnd w:id="49"/>
    </w:p>
    <w:p w14:paraId="4AA8C12B">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4.6.1投标人应在投标人须知前附表规定的投标截止时间前、规定的投标文件递交地点递交投标文件。</w:t>
      </w:r>
    </w:p>
    <w:p w14:paraId="47075CC5">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4.6.2除投标人须知前附表另有规定外，投标人有效递交的投标文件不予退还。</w:t>
      </w:r>
    </w:p>
    <w:p w14:paraId="007EDCB8">
      <w:pPr>
        <w:keepNext/>
        <w:keepLines/>
        <w:adjustRightInd w:val="0"/>
        <w:snapToGrid w:val="0"/>
        <w:spacing w:line="360" w:lineRule="auto"/>
        <w:jc w:val="left"/>
        <w:outlineLvl w:val="2"/>
        <w:rPr>
          <w:rFonts w:cs="仿宋_GB2312"/>
          <w:b/>
          <w:bCs/>
          <w:snapToGrid w:val="0"/>
          <w:color w:val="auto"/>
          <w:kern w:val="0"/>
          <w:sz w:val="24"/>
          <w:highlight w:val="none"/>
        </w:rPr>
      </w:pPr>
      <w:bookmarkStart w:id="50" w:name="_Toc26099"/>
      <w:r>
        <w:rPr>
          <w:rFonts w:hint="eastAsia" w:cs="仿宋_GB2312"/>
          <w:b/>
          <w:bCs/>
          <w:snapToGrid w:val="0"/>
          <w:color w:val="auto"/>
          <w:kern w:val="0"/>
          <w:sz w:val="24"/>
          <w:highlight w:val="none"/>
        </w:rPr>
        <w:t>4.7投标文件的补充、修改、撤回</w:t>
      </w:r>
      <w:bookmarkEnd w:id="50"/>
      <w:r>
        <w:rPr>
          <w:rFonts w:hint="eastAsia" w:cs="仿宋_GB2312"/>
          <w:b/>
          <w:bCs/>
          <w:snapToGrid w:val="0"/>
          <w:color w:val="auto"/>
          <w:kern w:val="0"/>
          <w:sz w:val="24"/>
          <w:highlight w:val="none"/>
        </w:rPr>
        <w:t>和撤销</w:t>
      </w:r>
    </w:p>
    <w:p w14:paraId="1DE62895">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4.7.1投标人递交投标文件以后，在规定的投标截止时间之前，投标人可以补充、修改或撤回已递交的投标文件，但应以书面形式通知招标人。</w:t>
      </w:r>
    </w:p>
    <w:p w14:paraId="21AF9647">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4.7.2投标人补充、修改或撤回已递交投标文件的书面通知应按照第3条、第4条的有关规定进行编制、密封、标识和递交，并标明“补充修改”或“撤回”字样。</w:t>
      </w:r>
    </w:p>
    <w:p w14:paraId="6824DEF8">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4.7.3补充、修改的内容为投标文件的组成部分。补充、修改的内容与投标文件不一致的，以补充、修改的内容为准。</w:t>
      </w:r>
    </w:p>
    <w:p w14:paraId="698AC8FD">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4.7.4在投标截止时间以后，不能补充、修改投标文件。投标截止时间以后至招标文件规定的投标有效期内，投标人不能撤销或修改投标文件。</w:t>
      </w:r>
    </w:p>
    <w:p w14:paraId="0C4D81DB">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4.8投标有效期</w:t>
      </w:r>
    </w:p>
    <w:p w14:paraId="147B7046">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4.8.1除投标人须知前附表另有规定外，投标有效期为90日历天。投标人的投标文件中承诺的投标有效期不得少于招标文件中载明的投标有效期。</w:t>
      </w:r>
    </w:p>
    <w:p w14:paraId="5E8EEC5E">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4.8.2在投标有效期内，投标人撤销或修改投标文件的，应承担招标文件和法律规定的责任。</w:t>
      </w:r>
    </w:p>
    <w:p w14:paraId="2C0EC22B">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4D3BB44D">
      <w:pPr>
        <w:snapToGrid w:val="0"/>
        <w:spacing w:line="360" w:lineRule="auto"/>
        <w:jc w:val="center"/>
        <w:outlineLvl w:val="1"/>
        <w:rPr>
          <w:rFonts w:cs="仿宋_GB2312"/>
          <w:b/>
          <w:snapToGrid w:val="0"/>
          <w:color w:val="auto"/>
          <w:kern w:val="0"/>
          <w:sz w:val="24"/>
          <w:highlight w:val="none"/>
        </w:rPr>
      </w:pPr>
      <w:bookmarkStart w:id="51" w:name="_Toc83886019"/>
      <w:bookmarkStart w:id="52" w:name="_Toc30158"/>
      <w:bookmarkStart w:id="53" w:name="_Toc29641"/>
      <w:bookmarkStart w:id="54" w:name="_Toc5265"/>
      <w:r>
        <w:rPr>
          <w:rFonts w:hint="eastAsia" w:cs="仿宋_GB2312"/>
          <w:b/>
          <w:snapToGrid w:val="0"/>
          <w:color w:val="auto"/>
          <w:kern w:val="0"/>
          <w:sz w:val="24"/>
          <w:highlight w:val="none"/>
        </w:rPr>
        <w:t>5、开标</w:t>
      </w:r>
      <w:bookmarkEnd w:id="51"/>
      <w:bookmarkEnd w:id="52"/>
      <w:bookmarkEnd w:id="53"/>
      <w:bookmarkEnd w:id="54"/>
    </w:p>
    <w:p w14:paraId="0680CF29">
      <w:pPr>
        <w:keepNext/>
        <w:keepLines/>
        <w:adjustRightInd w:val="0"/>
        <w:snapToGrid w:val="0"/>
        <w:spacing w:line="360" w:lineRule="auto"/>
        <w:jc w:val="left"/>
        <w:outlineLvl w:val="2"/>
        <w:rPr>
          <w:rFonts w:cs="仿宋_GB2312"/>
          <w:b/>
          <w:bCs/>
          <w:snapToGrid w:val="0"/>
          <w:color w:val="auto"/>
          <w:kern w:val="0"/>
          <w:sz w:val="24"/>
          <w:highlight w:val="none"/>
        </w:rPr>
      </w:pPr>
      <w:bookmarkStart w:id="55" w:name="_Toc15123"/>
      <w:r>
        <w:rPr>
          <w:rFonts w:hint="eastAsia" w:cs="仿宋_GB2312"/>
          <w:b/>
          <w:bCs/>
          <w:snapToGrid w:val="0"/>
          <w:color w:val="auto"/>
          <w:kern w:val="0"/>
          <w:sz w:val="24"/>
          <w:highlight w:val="none"/>
        </w:rPr>
        <w:t>5.1开标时间和地点</w:t>
      </w:r>
      <w:bookmarkEnd w:id="55"/>
    </w:p>
    <w:p w14:paraId="1697FB90">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5.1.1本项目按照投标人须知前附表规定的时间和地点公开举行开标会议，并邀请所有投标人法定代表人或其委托代理人（简称投标人代表，下同）参加开标会议。</w:t>
      </w:r>
    </w:p>
    <w:p w14:paraId="5F9A8878">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5.2开标应携带的资料</w:t>
      </w:r>
    </w:p>
    <w:p w14:paraId="46725689">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5.2.1投标人代表参加开标时，应携带投标人须知前附表规定的资料。</w:t>
      </w:r>
    </w:p>
    <w:p w14:paraId="2B6E91AC">
      <w:pPr>
        <w:adjustRightInd w:val="0"/>
        <w:snapToGrid w:val="0"/>
        <w:spacing w:line="360" w:lineRule="auto"/>
        <w:rPr>
          <w:rFonts w:cs="仿宋_GB2312"/>
          <w:b/>
          <w:bCs/>
          <w:snapToGrid w:val="0"/>
          <w:color w:val="auto"/>
          <w:kern w:val="0"/>
          <w:sz w:val="24"/>
          <w:highlight w:val="none"/>
        </w:rPr>
      </w:pPr>
      <w:r>
        <w:rPr>
          <w:rFonts w:hint="eastAsia" w:cs="仿宋_GB2312"/>
          <w:b/>
          <w:bCs/>
          <w:snapToGrid w:val="0"/>
          <w:color w:val="auto"/>
          <w:kern w:val="0"/>
          <w:sz w:val="24"/>
          <w:highlight w:val="none"/>
        </w:rPr>
        <w:t>5.3开标顺序</w:t>
      </w:r>
    </w:p>
    <w:p w14:paraId="4BD74D66">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5.3.1</w:t>
      </w:r>
      <w:r>
        <w:rPr>
          <w:rFonts w:hint="eastAsia" w:cs="仿宋_GB2312"/>
          <w:color w:val="auto"/>
          <w:kern w:val="0"/>
          <w:sz w:val="24"/>
          <w:highlight w:val="none"/>
        </w:rPr>
        <w:t>开标顺序依据</w:t>
      </w:r>
      <w:r>
        <w:rPr>
          <w:rFonts w:hint="eastAsia" w:cs="仿宋_GB2312"/>
          <w:snapToGrid w:val="0"/>
          <w:color w:val="auto"/>
          <w:kern w:val="0"/>
          <w:sz w:val="24"/>
          <w:highlight w:val="none"/>
        </w:rPr>
        <w:t>投标人须知前附表的规定</w:t>
      </w:r>
      <w:r>
        <w:rPr>
          <w:rFonts w:hint="eastAsia" w:cs="仿宋_GB2312"/>
          <w:color w:val="auto"/>
          <w:kern w:val="0"/>
          <w:sz w:val="24"/>
          <w:highlight w:val="none"/>
        </w:rPr>
        <w:t>。</w:t>
      </w:r>
    </w:p>
    <w:p w14:paraId="1DC11AB3">
      <w:pPr>
        <w:adjustRightInd w:val="0"/>
        <w:snapToGrid w:val="0"/>
        <w:spacing w:line="360" w:lineRule="auto"/>
        <w:rPr>
          <w:rFonts w:cs="仿宋_GB2312"/>
          <w:b/>
          <w:bCs/>
          <w:snapToGrid w:val="0"/>
          <w:color w:val="auto"/>
          <w:kern w:val="0"/>
          <w:sz w:val="24"/>
          <w:highlight w:val="none"/>
        </w:rPr>
      </w:pPr>
      <w:r>
        <w:rPr>
          <w:rFonts w:hint="eastAsia" w:cs="仿宋_GB2312"/>
          <w:b/>
          <w:bCs/>
          <w:snapToGrid w:val="0"/>
          <w:color w:val="auto"/>
          <w:kern w:val="0"/>
          <w:sz w:val="24"/>
          <w:highlight w:val="none"/>
        </w:rPr>
        <w:t>5.4开标程序</w:t>
      </w:r>
    </w:p>
    <w:p w14:paraId="1429F3EF">
      <w:pPr>
        <w:adjustRightInd w:val="0"/>
        <w:snapToGrid w:val="0"/>
        <w:spacing w:line="360" w:lineRule="auto"/>
        <w:ind w:firstLine="590" w:firstLineChars="245"/>
        <w:rPr>
          <w:rFonts w:cs="仿宋_GB2312"/>
          <w:b/>
          <w:bCs/>
          <w:snapToGrid w:val="0"/>
          <w:color w:val="auto"/>
          <w:kern w:val="0"/>
          <w:sz w:val="24"/>
          <w:highlight w:val="none"/>
        </w:rPr>
      </w:pPr>
      <w:r>
        <w:rPr>
          <w:rFonts w:hint="eastAsia" w:cs="仿宋_GB2312"/>
          <w:b/>
          <w:bCs/>
          <w:snapToGrid w:val="0"/>
          <w:color w:val="auto"/>
          <w:kern w:val="0"/>
          <w:sz w:val="24"/>
          <w:highlight w:val="none"/>
        </w:rPr>
        <w:t>5.4.1开标由招标人（或招标代理）主持，按下列程序进行开标：</w:t>
      </w:r>
    </w:p>
    <w:p w14:paraId="287FE66D">
      <w:pPr>
        <w:pStyle w:val="9"/>
        <w:ind w:firstLine="467" w:firstLineChars="194"/>
        <w:rPr>
          <w:rFonts w:eastAsia="仿宋_GB2312" w:cs="仿宋_GB2312"/>
          <w:b/>
          <w:bCs/>
          <w:snapToGrid w:val="0"/>
          <w:color w:val="auto"/>
          <w:kern w:val="0"/>
          <w:sz w:val="24"/>
          <w:szCs w:val="24"/>
          <w:highlight w:val="none"/>
        </w:rPr>
      </w:pPr>
      <w:r>
        <w:rPr>
          <w:rFonts w:hint="eastAsia" w:eastAsia="仿宋_GB2312" w:cs="仿宋_GB2312"/>
          <w:b/>
          <w:bCs/>
          <w:snapToGrid w:val="0"/>
          <w:color w:val="auto"/>
          <w:kern w:val="0"/>
          <w:sz w:val="24"/>
          <w:szCs w:val="24"/>
          <w:highlight w:val="none"/>
        </w:rPr>
        <w:t>（1）宣布开标纪律；</w:t>
      </w:r>
    </w:p>
    <w:p w14:paraId="4DB7ABD4">
      <w:pPr>
        <w:pStyle w:val="9"/>
        <w:ind w:firstLine="467" w:firstLineChars="194"/>
        <w:rPr>
          <w:rFonts w:eastAsia="仿宋_GB2312" w:cs="仿宋_GB2312"/>
          <w:b/>
          <w:bCs/>
          <w:snapToGrid w:val="0"/>
          <w:color w:val="auto"/>
          <w:kern w:val="0"/>
          <w:sz w:val="24"/>
          <w:szCs w:val="24"/>
          <w:highlight w:val="none"/>
        </w:rPr>
      </w:pPr>
      <w:r>
        <w:rPr>
          <w:rFonts w:hint="eastAsia" w:eastAsia="仿宋_GB2312" w:cs="仿宋_GB2312"/>
          <w:b/>
          <w:bCs/>
          <w:snapToGrid w:val="0"/>
          <w:color w:val="auto"/>
          <w:kern w:val="0"/>
          <w:sz w:val="24"/>
          <w:szCs w:val="24"/>
          <w:highlight w:val="none"/>
        </w:rPr>
        <w:t>（2）公布在投标截止时间前递交投标文件的投标人家数及名称；</w:t>
      </w:r>
    </w:p>
    <w:p w14:paraId="1A47C1C1">
      <w:pPr>
        <w:pStyle w:val="9"/>
        <w:ind w:firstLine="467" w:firstLineChars="194"/>
        <w:rPr>
          <w:rFonts w:eastAsia="仿宋_GB2312" w:cs="仿宋_GB2312"/>
          <w:b/>
          <w:bCs/>
          <w:snapToGrid w:val="0"/>
          <w:color w:val="auto"/>
          <w:kern w:val="0"/>
          <w:sz w:val="24"/>
          <w:szCs w:val="24"/>
          <w:highlight w:val="none"/>
        </w:rPr>
      </w:pPr>
      <w:r>
        <w:rPr>
          <w:rFonts w:hint="eastAsia" w:eastAsia="仿宋_GB2312" w:cs="仿宋_GB2312"/>
          <w:b/>
          <w:bCs/>
          <w:snapToGrid w:val="0"/>
          <w:color w:val="auto"/>
          <w:kern w:val="0"/>
          <w:sz w:val="24"/>
          <w:szCs w:val="24"/>
          <w:highlight w:val="none"/>
        </w:rPr>
        <w:t>（3）宣布：开标人、唱标人、记录人、监标人等有关工作人员；</w:t>
      </w:r>
    </w:p>
    <w:p w14:paraId="4DE0C581">
      <w:pPr>
        <w:pStyle w:val="9"/>
        <w:ind w:firstLine="467" w:firstLineChars="194"/>
        <w:rPr>
          <w:rFonts w:eastAsia="仿宋_GB2312" w:cs="仿宋_GB2312"/>
          <w:b/>
          <w:bCs/>
          <w:snapToGrid w:val="0"/>
          <w:color w:val="auto"/>
          <w:kern w:val="0"/>
          <w:sz w:val="24"/>
          <w:szCs w:val="24"/>
          <w:highlight w:val="none"/>
        </w:rPr>
      </w:pPr>
      <w:r>
        <w:rPr>
          <w:rFonts w:hint="eastAsia" w:eastAsia="仿宋_GB2312" w:cs="仿宋_GB2312"/>
          <w:b/>
          <w:bCs/>
          <w:snapToGrid w:val="0"/>
          <w:color w:val="auto"/>
          <w:kern w:val="0"/>
          <w:sz w:val="24"/>
          <w:szCs w:val="24"/>
          <w:highlight w:val="none"/>
        </w:rPr>
        <w:t>（4）监标人对各投标人法定代表人（或其委托代理人）身份证明进行核验；</w:t>
      </w:r>
    </w:p>
    <w:p w14:paraId="4305CF23">
      <w:pPr>
        <w:pStyle w:val="9"/>
        <w:ind w:firstLine="467" w:firstLineChars="194"/>
        <w:rPr>
          <w:rFonts w:eastAsia="仿宋_GB2312" w:cs="仿宋_GB2312"/>
          <w:b/>
          <w:bCs/>
          <w:snapToGrid w:val="0"/>
          <w:color w:val="auto"/>
          <w:kern w:val="0"/>
          <w:sz w:val="24"/>
          <w:szCs w:val="24"/>
          <w:highlight w:val="none"/>
        </w:rPr>
      </w:pPr>
      <w:r>
        <w:rPr>
          <w:rFonts w:hint="eastAsia" w:eastAsia="仿宋_GB2312" w:cs="仿宋_GB2312"/>
          <w:b/>
          <w:bCs/>
          <w:snapToGrid w:val="0"/>
          <w:color w:val="auto"/>
          <w:kern w:val="0"/>
          <w:sz w:val="24"/>
          <w:szCs w:val="24"/>
          <w:highlight w:val="none"/>
        </w:rPr>
        <w:t>（5）投标人代表或者其集体推选的代表检查投标文件的密封情况；</w:t>
      </w:r>
    </w:p>
    <w:p w14:paraId="50E8536C">
      <w:pPr>
        <w:pStyle w:val="9"/>
        <w:ind w:firstLine="467" w:firstLineChars="194"/>
        <w:rPr>
          <w:rFonts w:eastAsia="仿宋_GB2312" w:cs="仿宋_GB2312"/>
          <w:b/>
          <w:bCs/>
          <w:snapToGrid w:val="0"/>
          <w:color w:val="auto"/>
          <w:kern w:val="0"/>
          <w:sz w:val="24"/>
          <w:szCs w:val="24"/>
          <w:highlight w:val="none"/>
        </w:rPr>
      </w:pPr>
      <w:r>
        <w:rPr>
          <w:rFonts w:hint="eastAsia" w:eastAsia="仿宋_GB2312" w:cs="仿宋_GB2312"/>
          <w:b/>
          <w:bCs/>
          <w:snapToGrid w:val="0"/>
          <w:color w:val="auto"/>
          <w:kern w:val="0"/>
          <w:sz w:val="24"/>
          <w:szCs w:val="24"/>
          <w:highlight w:val="none"/>
        </w:rPr>
        <w:t>（6）按照投标人须知第5.3.1规定的开标顺序当众开启投标文件，清点投标文件正、副本数量，公布投标函内容（投标人全称、报价、服务期等其他内容），并记录在案；</w:t>
      </w:r>
    </w:p>
    <w:p w14:paraId="7BD52AAD">
      <w:pPr>
        <w:pStyle w:val="9"/>
        <w:ind w:firstLine="467" w:firstLineChars="194"/>
        <w:rPr>
          <w:rFonts w:eastAsia="仿宋_GB2312" w:cs="仿宋_GB2312"/>
          <w:b/>
          <w:bCs/>
          <w:snapToGrid w:val="0"/>
          <w:color w:val="auto"/>
          <w:kern w:val="0"/>
          <w:sz w:val="24"/>
          <w:szCs w:val="24"/>
          <w:highlight w:val="none"/>
        </w:rPr>
      </w:pPr>
      <w:r>
        <w:rPr>
          <w:rFonts w:hint="eastAsia" w:eastAsia="仿宋_GB2312" w:cs="仿宋_GB2312"/>
          <w:b/>
          <w:bCs/>
          <w:snapToGrid w:val="0"/>
          <w:color w:val="auto"/>
          <w:kern w:val="0"/>
          <w:sz w:val="24"/>
          <w:szCs w:val="24"/>
          <w:highlight w:val="none"/>
        </w:rPr>
        <w:t>（7）投标人代表、唱标人、监标人、记录人等有关人员在开标记录上签字确认；</w:t>
      </w:r>
    </w:p>
    <w:p w14:paraId="3BD323E3">
      <w:pPr>
        <w:pStyle w:val="9"/>
        <w:ind w:firstLine="467" w:firstLineChars="194"/>
        <w:rPr>
          <w:rFonts w:eastAsia="仿宋_GB2312" w:cs="仿宋_GB2312"/>
          <w:b/>
          <w:bCs/>
          <w:snapToGrid w:val="0"/>
          <w:color w:val="auto"/>
          <w:kern w:val="0"/>
          <w:sz w:val="24"/>
          <w:szCs w:val="24"/>
          <w:highlight w:val="none"/>
        </w:rPr>
      </w:pPr>
      <w:r>
        <w:rPr>
          <w:rFonts w:hint="eastAsia" w:eastAsia="仿宋_GB2312" w:cs="仿宋_GB2312"/>
          <w:b/>
          <w:bCs/>
          <w:snapToGrid w:val="0"/>
          <w:color w:val="auto"/>
          <w:kern w:val="0"/>
          <w:sz w:val="24"/>
          <w:szCs w:val="24"/>
          <w:highlight w:val="none"/>
        </w:rPr>
        <w:t>（8）开标结束。</w:t>
      </w:r>
    </w:p>
    <w:p w14:paraId="2E148AD1">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5.4.2投标人代表如发现唱标内容或记录结果与投标文件不一致的，应在开标现场当即提出予以纠正。</w:t>
      </w:r>
    </w:p>
    <w:p w14:paraId="651E351D">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5.4.3投标人未参加开标或参加开标但</w:t>
      </w:r>
      <w:r>
        <w:rPr>
          <w:rFonts w:hint="eastAsia" w:eastAsia="仿宋_GB2312" w:cs="仿宋_GB2312"/>
          <w:snapToGrid w:val="0"/>
          <w:color w:val="auto"/>
          <w:kern w:val="0"/>
          <w:sz w:val="24"/>
          <w:szCs w:val="24"/>
          <w:highlight w:val="none"/>
          <w:lang w:val="zh-CN"/>
        </w:rPr>
        <w:t>未在开标记录上签字的，</w:t>
      </w:r>
      <w:r>
        <w:rPr>
          <w:rFonts w:hint="eastAsia" w:eastAsia="仿宋_GB2312" w:cs="仿宋_GB2312"/>
          <w:snapToGrid w:val="0"/>
          <w:color w:val="auto"/>
          <w:kern w:val="0"/>
          <w:sz w:val="24"/>
          <w:szCs w:val="24"/>
          <w:highlight w:val="none"/>
        </w:rPr>
        <w:t>均视同认可开标结果。</w:t>
      </w:r>
    </w:p>
    <w:p w14:paraId="52E8746C">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5.4.4投标人在投标截止时间前提交投标文件撤回函的，招标人应在开标时宣读撤回函，并将其投标文件及其投标保证金及时退还投标人。</w:t>
      </w:r>
    </w:p>
    <w:p w14:paraId="3AC739BD">
      <w:pPr>
        <w:adjustRightInd w:val="0"/>
        <w:snapToGrid w:val="0"/>
        <w:spacing w:line="360" w:lineRule="auto"/>
        <w:rPr>
          <w:rFonts w:cs="仿宋_GB2312"/>
          <w:b/>
          <w:bCs/>
          <w:snapToGrid w:val="0"/>
          <w:color w:val="auto"/>
          <w:kern w:val="0"/>
          <w:sz w:val="24"/>
          <w:highlight w:val="none"/>
        </w:rPr>
      </w:pPr>
      <w:r>
        <w:rPr>
          <w:rFonts w:hint="eastAsia" w:cs="仿宋_GB2312"/>
          <w:b/>
          <w:bCs/>
          <w:snapToGrid w:val="0"/>
          <w:color w:val="auto"/>
          <w:kern w:val="0"/>
          <w:sz w:val="24"/>
          <w:highlight w:val="none"/>
        </w:rPr>
        <w:t>5.5投标文件拒收、退还：</w:t>
      </w:r>
      <w:r>
        <w:rPr>
          <w:rFonts w:hint="eastAsia" w:cs="仿宋_GB2312"/>
          <w:b/>
          <w:bCs/>
          <w:color w:val="auto"/>
          <w:kern w:val="21"/>
          <w:sz w:val="24"/>
          <w:highlight w:val="none"/>
        </w:rPr>
        <w:t>见投标人须知前附表。</w:t>
      </w:r>
    </w:p>
    <w:p w14:paraId="07FECDB9">
      <w:pPr>
        <w:snapToGrid w:val="0"/>
        <w:spacing w:line="360" w:lineRule="auto"/>
        <w:jc w:val="center"/>
        <w:outlineLvl w:val="1"/>
        <w:rPr>
          <w:rFonts w:cs="仿宋_GB2312"/>
          <w:b/>
          <w:snapToGrid w:val="0"/>
          <w:color w:val="auto"/>
          <w:kern w:val="0"/>
          <w:sz w:val="24"/>
          <w:highlight w:val="none"/>
        </w:rPr>
      </w:pPr>
      <w:bookmarkStart w:id="56" w:name="_Toc7908"/>
      <w:bookmarkStart w:id="57" w:name="_Toc31578"/>
      <w:bookmarkStart w:id="58" w:name="_Toc83886020"/>
      <w:bookmarkStart w:id="59" w:name="_Toc16967"/>
      <w:r>
        <w:rPr>
          <w:rFonts w:hint="eastAsia" w:cs="仿宋_GB2312"/>
          <w:b/>
          <w:snapToGrid w:val="0"/>
          <w:color w:val="auto"/>
          <w:kern w:val="0"/>
          <w:sz w:val="24"/>
          <w:highlight w:val="none"/>
        </w:rPr>
        <w:t>6、评标</w:t>
      </w:r>
      <w:bookmarkEnd w:id="56"/>
      <w:bookmarkEnd w:id="57"/>
      <w:bookmarkEnd w:id="58"/>
      <w:bookmarkEnd w:id="59"/>
    </w:p>
    <w:p w14:paraId="5526DF50">
      <w:pPr>
        <w:keepNext/>
        <w:keepLines/>
        <w:adjustRightInd w:val="0"/>
        <w:snapToGrid w:val="0"/>
        <w:spacing w:line="360" w:lineRule="auto"/>
        <w:jc w:val="left"/>
        <w:outlineLvl w:val="2"/>
        <w:rPr>
          <w:rFonts w:cs="仿宋_GB2312"/>
          <w:b/>
          <w:bCs/>
          <w:snapToGrid w:val="0"/>
          <w:color w:val="auto"/>
          <w:kern w:val="0"/>
          <w:sz w:val="24"/>
          <w:highlight w:val="none"/>
        </w:rPr>
      </w:pPr>
      <w:bookmarkStart w:id="60" w:name="_Toc10279"/>
      <w:r>
        <w:rPr>
          <w:rFonts w:hint="eastAsia" w:cs="仿宋_GB2312"/>
          <w:b/>
          <w:bCs/>
          <w:snapToGrid w:val="0"/>
          <w:color w:val="auto"/>
          <w:kern w:val="0"/>
          <w:sz w:val="24"/>
          <w:highlight w:val="none"/>
        </w:rPr>
        <w:t>6.1评标委员会的组建</w:t>
      </w:r>
    </w:p>
    <w:bookmarkEnd w:id="60"/>
    <w:p w14:paraId="4F51E73D">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6.1.1评标小组由招标人依法组建，负责评标活动。</w:t>
      </w:r>
    </w:p>
    <w:p w14:paraId="1420ED93">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6.1.2评标委员会组成成员与投标人有下列利害关系之一的，应当回避：</w:t>
      </w:r>
    </w:p>
    <w:p w14:paraId="4E46CEC8">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（1）投标人或者投标人主要负责人的近亲属；</w:t>
      </w:r>
    </w:p>
    <w:p w14:paraId="0D77B935">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（2）项目主管部门或者行政监督部门的人员；</w:t>
      </w:r>
    </w:p>
    <w:p w14:paraId="4508E4F8">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（3）与投标人有经济利益关系，可能影响对投标公正评审的；</w:t>
      </w:r>
    </w:p>
    <w:p w14:paraId="0144D936">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（4）曾因在招标、评标以及其他与招标投标有关活动中从事违法行为而受过行政处罚或刑事处罚的。</w:t>
      </w:r>
    </w:p>
    <w:p w14:paraId="494D9B4C">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6.1.3评标过程中，评标委员会成员有回避事由、擅离职守或者因健康原因不能继续评标的，招标人有权更换。被更换的评标委员会成员作出的评审结论无效，由更换后的评标委员会成员重新进行评审。</w:t>
      </w:r>
    </w:p>
    <w:p w14:paraId="414B92AB">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6.2评标原则</w:t>
      </w:r>
    </w:p>
    <w:p w14:paraId="0B468A2F">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6.2.1评标活动遵循公平、公正、科学和择优的原则。</w:t>
      </w:r>
    </w:p>
    <w:p w14:paraId="2C2FDB4E">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6.3评标会议</w:t>
      </w:r>
    </w:p>
    <w:p w14:paraId="42FD1BF3">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6.3.1评标委员会原则上要推选一位组长（招标人代表不得担任评标委员会组长），评标委员会组长负责组织评标工作。</w:t>
      </w:r>
    </w:p>
    <w:p w14:paraId="0326003D">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63E3D829">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6.3.3评标完成后，评标委员会应当向招标人提交书面评标报告和中标候选人名单。评标委员会推荐中标候选人的人数见投标人须知前附表。</w:t>
      </w:r>
    </w:p>
    <w:p w14:paraId="36E878FC">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6.3.4评标委员会对投标文件作出的评审结论，应当符合有关法律、法规和招标文件的规定。评标委员会成员对所提出的评审意见承担个人责任。</w:t>
      </w:r>
    </w:p>
    <w:p w14:paraId="0F762F18">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6.4评标过程的保密</w:t>
      </w:r>
    </w:p>
    <w:p w14:paraId="43F97380">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53D0CFCA">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6.4.2评标工作现场进行全过程录音录像以存档备查。</w:t>
      </w:r>
    </w:p>
    <w:p w14:paraId="0CC04D81">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6.4.3评标过程中招标代理机构与评标委员会各司其责。</w:t>
      </w:r>
    </w:p>
    <w:p w14:paraId="486A0E87">
      <w:pPr>
        <w:snapToGrid w:val="0"/>
        <w:spacing w:line="360" w:lineRule="auto"/>
        <w:jc w:val="center"/>
        <w:outlineLvl w:val="1"/>
        <w:rPr>
          <w:rFonts w:cs="仿宋_GB2312"/>
          <w:bCs/>
          <w:snapToGrid w:val="0"/>
          <w:color w:val="auto"/>
          <w:kern w:val="0"/>
          <w:sz w:val="24"/>
          <w:highlight w:val="none"/>
        </w:rPr>
      </w:pPr>
      <w:bookmarkStart w:id="61" w:name="_Toc24237"/>
      <w:bookmarkStart w:id="62" w:name="_Toc911"/>
      <w:bookmarkStart w:id="63" w:name="_Toc83886021"/>
      <w:bookmarkStart w:id="64" w:name="_Toc23730"/>
      <w:r>
        <w:rPr>
          <w:rFonts w:hint="eastAsia" w:cs="仿宋_GB2312"/>
          <w:b/>
          <w:snapToGrid w:val="0"/>
          <w:color w:val="auto"/>
          <w:kern w:val="0"/>
          <w:sz w:val="24"/>
          <w:highlight w:val="none"/>
        </w:rPr>
        <w:t>7、</w:t>
      </w:r>
      <w:bookmarkEnd w:id="61"/>
      <w:r>
        <w:rPr>
          <w:rFonts w:hint="eastAsia" w:cs="仿宋_GB2312"/>
          <w:b/>
          <w:snapToGrid w:val="0"/>
          <w:color w:val="auto"/>
          <w:kern w:val="0"/>
          <w:sz w:val="24"/>
          <w:highlight w:val="none"/>
        </w:rPr>
        <w:t>定标</w:t>
      </w:r>
      <w:bookmarkEnd w:id="62"/>
      <w:bookmarkEnd w:id="63"/>
      <w:bookmarkEnd w:id="64"/>
    </w:p>
    <w:p w14:paraId="27BC2185">
      <w:pPr>
        <w:keepNext/>
        <w:keepLines/>
        <w:adjustRightInd w:val="0"/>
        <w:snapToGrid w:val="0"/>
        <w:spacing w:line="360" w:lineRule="auto"/>
        <w:jc w:val="left"/>
        <w:outlineLvl w:val="2"/>
        <w:rPr>
          <w:rFonts w:cs="仿宋_GB2312"/>
          <w:b/>
          <w:bCs/>
          <w:snapToGrid w:val="0"/>
          <w:color w:val="auto"/>
          <w:kern w:val="0"/>
          <w:sz w:val="24"/>
          <w:highlight w:val="none"/>
        </w:rPr>
      </w:pPr>
      <w:bookmarkStart w:id="65" w:name="_Toc18809"/>
      <w:r>
        <w:rPr>
          <w:rFonts w:hint="eastAsia" w:cs="仿宋_GB2312"/>
          <w:b/>
          <w:bCs/>
          <w:snapToGrid w:val="0"/>
          <w:color w:val="auto"/>
          <w:kern w:val="0"/>
          <w:sz w:val="24"/>
          <w:highlight w:val="none"/>
        </w:rPr>
        <w:t>7.1中标候选人公示</w:t>
      </w:r>
    </w:p>
    <w:p w14:paraId="775EA1F0">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04775DFD">
      <w:pPr>
        <w:keepNext/>
        <w:keepLines/>
        <w:adjustRightInd w:val="0"/>
        <w:snapToGrid w:val="0"/>
        <w:spacing w:line="360" w:lineRule="auto"/>
        <w:jc w:val="left"/>
        <w:outlineLvl w:val="2"/>
        <w:rPr>
          <w:rFonts w:cs="仿宋_GB2312"/>
          <w:b/>
          <w:bCs/>
          <w:snapToGrid w:val="0"/>
          <w:color w:val="auto"/>
          <w:kern w:val="0"/>
          <w:sz w:val="24"/>
          <w:highlight w:val="none"/>
        </w:rPr>
      </w:pPr>
      <w:bookmarkStart w:id="66" w:name="_bookmark61"/>
      <w:bookmarkEnd w:id="66"/>
      <w:r>
        <w:rPr>
          <w:rFonts w:hint="eastAsia" w:cs="仿宋_GB2312"/>
          <w:b/>
          <w:bCs/>
          <w:snapToGrid w:val="0"/>
          <w:color w:val="auto"/>
          <w:kern w:val="0"/>
          <w:sz w:val="24"/>
          <w:highlight w:val="none"/>
        </w:rPr>
        <w:t>7.2定标方式</w:t>
      </w:r>
    </w:p>
    <w:p w14:paraId="725D78AA">
      <w:pPr>
        <w:pStyle w:val="9"/>
        <w:adjustRightInd w:val="0"/>
        <w:snapToGrid w:val="0"/>
        <w:spacing w:after="0" w:line="360" w:lineRule="auto"/>
        <w:ind w:firstLine="480" w:firstLineChars="200"/>
        <w:jc w:val="left"/>
        <w:rPr>
          <w:rFonts w:eastAsia="仿宋_GB2312" w:cs="仿宋_GB2312"/>
          <w:color w:val="auto"/>
          <w:kern w:val="0"/>
          <w:sz w:val="24"/>
          <w:szCs w:val="24"/>
          <w:highlight w:val="none"/>
          <w:lang w:val="zh-CN"/>
        </w:rPr>
      </w:pPr>
      <w:r>
        <w:rPr>
          <w:rFonts w:hint="eastAsia" w:eastAsia="仿宋_GB2312" w:cs="仿宋_GB2312"/>
          <w:snapToGrid w:val="0"/>
          <w:color w:val="auto"/>
          <w:kern w:val="0"/>
          <w:sz w:val="24"/>
          <w:szCs w:val="24"/>
          <w:highlight w:val="none"/>
        </w:rPr>
        <w:t>7.2.1</w:t>
      </w:r>
      <w:r>
        <w:rPr>
          <w:rFonts w:hint="eastAsia" w:eastAsia="仿宋_GB2312" w:cs="仿宋_GB2312"/>
          <w:color w:val="auto"/>
          <w:kern w:val="0"/>
          <w:sz w:val="24"/>
          <w:szCs w:val="24"/>
          <w:highlight w:val="none"/>
          <w:lang w:val="zh-CN"/>
        </w:rPr>
        <w:t>招标人应当确定排名第一的中标候选人为中标人。排名第一的中标候选人放弃中标、因不可抗力不能履行合同、不按照招标文件要求提交履约保证金，或者被查实存在影响中标结果的违法行为情形，不符合中标条件的，招标人可以按照评标委员会提出的中标候选人名单排序依次确定其他中标候选人为中标人，也可以重新招标。</w:t>
      </w:r>
    </w:p>
    <w:p w14:paraId="06EB1616">
      <w:pPr>
        <w:pStyle w:val="9"/>
        <w:rPr>
          <w:rFonts w:eastAsia="仿宋_GB2312" w:cs="仿宋_GB2312"/>
          <w:b/>
          <w:bCs/>
          <w:snapToGrid w:val="0"/>
          <w:color w:val="auto"/>
          <w:kern w:val="0"/>
          <w:sz w:val="24"/>
          <w:szCs w:val="24"/>
          <w:highlight w:val="none"/>
        </w:rPr>
      </w:pPr>
      <w:bookmarkStart w:id="67" w:name="_bookmark64"/>
      <w:bookmarkEnd w:id="67"/>
      <w:bookmarkStart w:id="68" w:name="_bookmark63"/>
      <w:bookmarkEnd w:id="68"/>
      <w:r>
        <w:rPr>
          <w:rFonts w:hint="eastAsia" w:eastAsia="仿宋_GB2312" w:cs="仿宋_GB2312"/>
          <w:b/>
          <w:bCs/>
          <w:snapToGrid w:val="0"/>
          <w:color w:val="auto"/>
          <w:kern w:val="0"/>
          <w:sz w:val="24"/>
          <w:szCs w:val="24"/>
          <w:highlight w:val="none"/>
        </w:rPr>
        <w:t>7.3中标通知</w:t>
      </w:r>
    </w:p>
    <w:p w14:paraId="03BAF514">
      <w:pPr>
        <w:pStyle w:val="9"/>
        <w:adjustRightInd w:val="0"/>
        <w:snapToGrid w:val="0"/>
        <w:spacing w:after="0" w:line="360" w:lineRule="auto"/>
        <w:ind w:firstLine="480" w:firstLineChars="200"/>
        <w:jc w:val="left"/>
        <w:rPr>
          <w:rFonts w:eastAsia="仿宋_GB2312" w:cs="仿宋_GB2312"/>
          <w:b/>
          <w:snapToGrid w:val="0"/>
          <w:color w:val="auto"/>
          <w:kern w:val="0"/>
          <w:sz w:val="24"/>
          <w:szCs w:val="24"/>
          <w:highlight w:val="none"/>
        </w:rPr>
      </w:pPr>
      <w:r>
        <w:rPr>
          <w:rFonts w:hint="eastAsia" w:eastAsia="仿宋_GB2312" w:cs="仿宋_GB2312"/>
          <w:snapToGrid w:val="0"/>
          <w:color w:val="auto"/>
          <w:kern w:val="0"/>
          <w:sz w:val="24"/>
          <w:szCs w:val="24"/>
          <w:highlight w:val="none"/>
        </w:rPr>
        <w:t>7.3.1中标候选人公示期满，经招标人决标批准，</w:t>
      </w:r>
      <w:r>
        <w:rPr>
          <w:rFonts w:hint="eastAsia" w:eastAsia="仿宋_GB2312" w:cs="仿宋_GB2312"/>
          <w:b/>
          <w:snapToGrid w:val="0"/>
          <w:color w:val="auto"/>
          <w:kern w:val="0"/>
          <w:sz w:val="24"/>
          <w:szCs w:val="24"/>
          <w:highlight w:val="none"/>
        </w:rPr>
        <w:t>确定中标人</w:t>
      </w:r>
      <w:r>
        <w:rPr>
          <w:rFonts w:hint="eastAsia" w:eastAsia="仿宋_GB2312" w:cs="仿宋_GB2312"/>
          <w:snapToGrid w:val="0"/>
          <w:color w:val="auto"/>
          <w:kern w:val="0"/>
          <w:sz w:val="24"/>
          <w:szCs w:val="24"/>
          <w:highlight w:val="none"/>
        </w:rPr>
        <w:t>，在本章第4.10.1项规定的投标有效期内，招标人以书面形式向中标人发出中标通知书。</w:t>
      </w:r>
    </w:p>
    <w:p w14:paraId="3658C4C0">
      <w:pPr>
        <w:snapToGrid w:val="0"/>
        <w:spacing w:line="360" w:lineRule="auto"/>
        <w:jc w:val="center"/>
        <w:outlineLvl w:val="1"/>
        <w:rPr>
          <w:rFonts w:cs="仿宋_GB2312"/>
          <w:bCs/>
          <w:snapToGrid w:val="0"/>
          <w:color w:val="auto"/>
          <w:kern w:val="0"/>
          <w:sz w:val="24"/>
          <w:highlight w:val="none"/>
        </w:rPr>
      </w:pPr>
      <w:bookmarkStart w:id="69" w:name="_bookmark66"/>
      <w:bookmarkEnd w:id="69"/>
      <w:bookmarkStart w:id="70" w:name="_Toc6008"/>
      <w:bookmarkStart w:id="71" w:name="_Toc83886022"/>
      <w:bookmarkStart w:id="72" w:name="_Toc15166"/>
      <w:r>
        <w:rPr>
          <w:rFonts w:hint="eastAsia" w:cs="仿宋_GB2312"/>
          <w:b/>
          <w:snapToGrid w:val="0"/>
          <w:color w:val="auto"/>
          <w:kern w:val="0"/>
          <w:sz w:val="24"/>
          <w:highlight w:val="none"/>
        </w:rPr>
        <w:t>8、合同的授予</w:t>
      </w:r>
      <w:bookmarkEnd w:id="70"/>
      <w:bookmarkEnd w:id="71"/>
      <w:bookmarkEnd w:id="72"/>
    </w:p>
    <w:p w14:paraId="0680D458">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8.1签订合同</w:t>
      </w:r>
    </w:p>
    <w:p w14:paraId="175ED83D">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给招标人造成的损失超过投标保证金数额的，中标人还应当对超过部分予以赔偿。</w:t>
      </w:r>
    </w:p>
    <w:p w14:paraId="2C9A4C57">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366F7794">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8.1.3联合体中标的，联合体各方应当共同与招标人签订合同，就中标项目向招标人承担连带责任。</w:t>
      </w:r>
    </w:p>
    <w:p w14:paraId="6D4B37AA">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8.2履约保证金</w:t>
      </w:r>
    </w:p>
    <w:p w14:paraId="79A358DC">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0A94E38A">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0CE9E31A">
      <w:pPr>
        <w:snapToGrid w:val="0"/>
        <w:spacing w:line="360" w:lineRule="auto"/>
        <w:jc w:val="center"/>
        <w:outlineLvl w:val="1"/>
        <w:rPr>
          <w:rFonts w:cs="仿宋_GB2312"/>
          <w:b/>
          <w:snapToGrid w:val="0"/>
          <w:color w:val="auto"/>
          <w:kern w:val="0"/>
          <w:sz w:val="24"/>
          <w:highlight w:val="none"/>
        </w:rPr>
      </w:pPr>
      <w:bookmarkStart w:id="73" w:name="_Toc11806"/>
      <w:bookmarkStart w:id="74" w:name="_Toc220123241"/>
      <w:bookmarkStart w:id="75" w:name="_Toc219809801"/>
      <w:bookmarkStart w:id="76" w:name="_Toc12528"/>
      <w:bookmarkStart w:id="77" w:name="_Toc83886023"/>
      <w:bookmarkStart w:id="78" w:name="_Toc3297"/>
      <w:r>
        <w:rPr>
          <w:rFonts w:hint="eastAsia" w:cs="仿宋_GB2312"/>
          <w:b/>
          <w:snapToGrid w:val="0"/>
          <w:color w:val="auto"/>
          <w:kern w:val="0"/>
          <w:sz w:val="24"/>
          <w:highlight w:val="none"/>
        </w:rPr>
        <w:t>9、</w:t>
      </w:r>
      <w:bookmarkEnd w:id="73"/>
      <w:bookmarkEnd w:id="74"/>
      <w:bookmarkEnd w:id="75"/>
      <w:r>
        <w:rPr>
          <w:rFonts w:hint="eastAsia" w:cs="仿宋_GB2312"/>
          <w:b/>
          <w:snapToGrid w:val="0"/>
          <w:color w:val="auto"/>
          <w:kern w:val="0"/>
          <w:sz w:val="24"/>
          <w:highlight w:val="none"/>
        </w:rPr>
        <w:t>招标失败</w:t>
      </w:r>
      <w:bookmarkEnd w:id="76"/>
      <w:bookmarkEnd w:id="77"/>
      <w:bookmarkEnd w:id="78"/>
      <w:bookmarkStart w:id="79" w:name="_Toc220123242"/>
      <w:bookmarkStart w:id="80" w:name="_Toc219809802"/>
      <w:bookmarkStart w:id="81" w:name="_Toc15553"/>
    </w:p>
    <w:p w14:paraId="03BA183E">
      <w:pPr>
        <w:snapToGrid w:val="0"/>
        <w:spacing w:line="360" w:lineRule="auto"/>
        <w:rPr>
          <w:rFonts w:cs="仿宋_GB2312"/>
          <w:b/>
          <w:bCs/>
          <w:snapToGrid w:val="0"/>
          <w:color w:val="auto"/>
          <w:kern w:val="0"/>
          <w:sz w:val="24"/>
          <w:highlight w:val="none"/>
        </w:rPr>
      </w:pPr>
      <w:bookmarkStart w:id="82" w:name="_Toc21538"/>
      <w:r>
        <w:rPr>
          <w:rFonts w:hint="eastAsia" w:cs="仿宋_GB2312"/>
          <w:b/>
          <w:bCs/>
          <w:snapToGrid w:val="0"/>
          <w:color w:val="auto"/>
          <w:kern w:val="0"/>
          <w:sz w:val="24"/>
          <w:highlight w:val="none"/>
        </w:rPr>
        <w:t>9.1 招标</w:t>
      </w:r>
      <w:bookmarkEnd w:id="79"/>
      <w:bookmarkEnd w:id="80"/>
      <w:bookmarkEnd w:id="81"/>
      <w:r>
        <w:rPr>
          <w:rFonts w:hint="eastAsia" w:cs="仿宋_GB2312"/>
          <w:b/>
          <w:bCs/>
          <w:snapToGrid w:val="0"/>
          <w:color w:val="auto"/>
          <w:kern w:val="0"/>
          <w:sz w:val="24"/>
          <w:highlight w:val="none"/>
        </w:rPr>
        <w:t>失败</w:t>
      </w:r>
      <w:bookmarkEnd w:id="82"/>
    </w:p>
    <w:p w14:paraId="1540B40E">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9.1.1有下列情形之一的，本次项目招标失败：</w:t>
      </w:r>
    </w:p>
    <w:p w14:paraId="6E483308">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（1）招标文件的内容不符合法律法规的规定或存在重大缺陷影响潜在投标人投标的；</w:t>
      </w:r>
    </w:p>
    <w:p w14:paraId="62DAB1B7">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（2）至投标截止时间，投标人数不足3家的；</w:t>
      </w:r>
    </w:p>
    <w:p w14:paraId="7AE0A466">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（3）经评标委员会评审后否决所有投标的；</w:t>
      </w:r>
    </w:p>
    <w:p w14:paraId="170FE4FA">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（4）中标候选人放弃中标或不符合中标条件，招标人未选择其余中标候选人的。</w:t>
      </w:r>
    </w:p>
    <w:bookmarkEnd w:id="65"/>
    <w:p w14:paraId="57D0117A">
      <w:pPr>
        <w:snapToGrid w:val="0"/>
        <w:spacing w:line="360" w:lineRule="auto"/>
        <w:jc w:val="center"/>
        <w:outlineLvl w:val="1"/>
        <w:rPr>
          <w:rFonts w:cs="仿宋_GB2312"/>
          <w:b/>
          <w:snapToGrid w:val="0"/>
          <w:color w:val="auto"/>
          <w:kern w:val="0"/>
          <w:sz w:val="24"/>
          <w:highlight w:val="none"/>
        </w:rPr>
      </w:pPr>
      <w:bookmarkStart w:id="83" w:name="_bookmark65"/>
      <w:bookmarkEnd w:id="83"/>
      <w:bookmarkStart w:id="84" w:name="_bookmark62"/>
      <w:bookmarkEnd w:id="84"/>
      <w:bookmarkStart w:id="85" w:name="_Toc215941254"/>
      <w:bookmarkStart w:id="86" w:name="_Toc219809804"/>
      <w:bookmarkStart w:id="87" w:name="_Toc2986"/>
      <w:bookmarkStart w:id="88" w:name="_Toc220123244"/>
      <w:bookmarkStart w:id="89" w:name="_Toc83886024"/>
      <w:bookmarkStart w:id="90" w:name="_Toc3631"/>
      <w:bookmarkStart w:id="91" w:name="_Toc11285"/>
      <w:r>
        <w:rPr>
          <w:rFonts w:hint="eastAsia" w:cs="仿宋_GB2312"/>
          <w:b/>
          <w:snapToGrid w:val="0"/>
          <w:color w:val="auto"/>
          <w:kern w:val="0"/>
          <w:sz w:val="24"/>
          <w:highlight w:val="none"/>
        </w:rPr>
        <w:t>10、异议、投</w:t>
      </w:r>
      <w:bookmarkEnd w:id="85"/>
      <w:bookmarkEnd w:id="86"/>
      <w:bookmarkEnd w:id="87"/>
      <w:bookmarkEnd w:id="88"/>
      <w:r>
        <w:rPr>
          <w:rFonts w:hint="eastAsia" w:cs="仿宋_GB2312"/>
          <w:b/>
          <w:snapToGrid w:val="0"/>
          <w:color w:val="auto"/>
          <w:kern w:val="0"/>
          <w:sz w:val="24"/>
          <w:highlight w:val="none"/>
        </w:rPr>
        <w:t>诉、监督</w:t>
      </w:r>
      <w:bookmarkEnd w:id="89"/>
      <w:bookmarkEnd w:id="90"/>
      <w:bookmarkEnd w:id="91"/>
    </w:p>
    <w:p w14:paraId="643B5A2C">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10.1异议</w:t>
      </w:r>
    </w:p>
    <w:p w14:paraId="53FF368E">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00DCC6FF">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10.1.2投标人对开标有异议的，应当在开标会议结束前提出，招标人当场作出答复，并制作记录。</w:t>
      </w:r>
    </w:p>
    <w:p w14:paraId="30CADD35">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71951969">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10.1.4异议书须包括以下内容（加盖单位公章）：</w:t>
      </w:r>
    </w:p>
    <w:p w14:paraId="7FFCD0B5">
      <w:pPr>
        <w:pStyle w:val="48"/>
        <w:numPr>
          <w:ilvl w:val="0"/>
          <w:numId w:val="2"/>
        </w:numPr>
        <w:spacing w:line="360" w:lineRule="auto"/>
        <w:ind w:firstLineChars="0"/>
        <w:rPr>
          <w:rFonts w:eastAsia="仿宋_GB2312" w:cs="仿宋_GB2312"/>
          <w:snapToGrid w:val="0"/>
          <w:color w:val="auto"/>
          <w:kern w:val="0"/>
          <w:sz w:val="24"/>
          <w:highlight w:val="none"/>
        </w:rPr>
      </w:pPr>
      <w:r>
        <w:rPr>
          <w:rFonts w:hint="eastAsia" w:eastAsia="仿宋_GB2312" w:cs="仿宋_GB2312"/>
          <w:snapToGrid w:val="0"/>
          <w:color w:val="auto"/>
          <w:kern w:val="0"/>
          <w:sz w:val="24"/>
          <w:highlight w:val="none"/>
        </w:rPr>
        <w:t>异议人的名称、地址、邮政编码、联系人、联系电话，以及被异议人名称及联系方式；</w:t>
      </w:r>
    </w:p>
    <w:p w14:paraId="20DFA638">
      <w:pPr>
        <w:pStyle w:val="48"/>
        <w:numPr>
          <w:ilvl w:val="0"/>
          <w:numId w:val="2"/>
        </w:numPr>
        <w:spacing w:line="360" w:lineRule="auto"/>
        <w:ind w:firstLineChars="0"/>
        <w:rPr>
          <w:rFonts w:eastAsia="仿宋_GB2312" w:cs="仿宋_GB2312"/>
          <w:snapToGrid w:val="0"/>
          <w:color w:val="auto"/>
          <w:kern w:val="0"/>
          <w:sz w:val="24"/>
          <w:highlight w:val="none"/>
        </w:rPr>
      </w:pPr>
      <w:r>
        <w:rPr>
          <w:rFonts w:hint="eastAsia" w:eastAsia="仿宋_GB2312" w:cs="仿宋_GB2312"/>
          <w:snapToGrid w:val="0"/>
          <w:color w:val="auto"/>
          <w:kern w:val="0"/>
          <w:sz w:val="24"/>
          <w:highlight w:val="none"/>
        </w:rPr>
        <w:t>被异议采购项目名称、编号及采购内容；</w:t>
      </w:r>
    </w:p>
    <w:p w14:paraId="3EF86C90">
      <w:pPr>
        <w:pStyle w:val="48"/>
        <w:numPr>
          <w:ilvl w:val="0"/>
          <w:numId w:val="2"/>
        </w:numPr>
        <w:spacing w:line="360" w:lineRule="auto"/>
        <w:ind w:firstLineChars="0"/>
        <w:rPr>
          <w:rFonts w:eastAsia="仿宋_GB2312" w:cs="仿宋_GB2312"/>
          <w:snapToGrid w:val="0"/>
          <w:color w:val="auto"/>
          <w:kern w:val="0"/>
          <w:sz w:val="24"/>
          <w:highlight w:val="none"/>
        </w:rPr>
      </w:pPr>
      <w:r>
        <w:rPr>
          <w:rFonts w:hint="eastAsia" w:eastAsia="仿宋_GB2312" w:cs="仿宋_GB2312"/>
          <w:snapToGrid w:val="0"/>
          <w:color w:val="auto"/>
          <w:kern w:val="0"/>
          <w:sz w:val="24"/>
          <w:highlight w:val="none"/>
        </w:rPr>
        <w:t>具体的异议事项及事实依据；</w:t>
      </w:r>
    </w:p>
    <w:p w14:paraId="5B69AF52">
      <w:pPr>
        <w:pStyle w:val="48"/>
        <w:numPr>
          <w:ilvl w:val="0"/>
          <w:numId w:val="2"/>
        </w:numPr>
        <w:spacing w:line="360" w:lineRule="auto"/>
        <w:ind w:firstLineChars="0"/>
        <w:rPr>
          <w:rFonts w:eastAsia="仿宋_GB2312" w:cs="仿宋_GB2312"/>
          <w:snapToGrid w:val="0"/>
          <w:color w:val="auto"/>
          <w:kern w:val="0"/>
          <w:sz w:val="24"/>
          <w:highlight w:val="none"/>
        </w:rPr>
      </w:pPr>
      <w:r>
        <w:rPr>
          <w:rFonts w:hint="eastAsia" w:eastAsia="仿宋_GB2312" w:cs="仿宋_GB2312"/>
          <w:snapToGrid w:val="0"/>
          <w:color w:val="auto"/>
          <w:kern w:val="0"/>
          <w:sz w:val="24"/>
          <w:highlight w:val="none"/>
        </w:rPr>
        <w:t>认为自己合法权益受到损害或可能受到损害的相关证据材料；</w:t>
      </w:r>
    </w:p>
    <w:p w14:paraId="0077C2EC">
      <w:pPr>
        <w:pStyle w:val="48"/>
        <w:numPr>
          <w:ilvl w:val="0"/>
          <w:numId w:val="2"/>
        </w:numPr>
        <w:spacing w:line="360" w:lineRule="auto"/>
        <w:ind w:firstLineChars="0"/>
        <w:rPr>
          <w:rFonts w:eastAsia="仿宋_GB2312" w:cs="仿宋_GB2312"/>
          <w:snapToGrid w:val="0"/>
          <w:color w:val="auto"/>
          <w:kern w:val="0"/>
          <w:sz w:val="24"/>
          <w:highlight w:val="none"/>
        </w:rPr>
      </w:pPr>
      <w:r>
        <w:rPr>
          <w:rFonts w:hint="eastAsia" w:eastAsia="仿宋_GB2312" w:cs="仿宋_GB2312"/>
          <w:snapToGrid w:val="0"/>
          <w:color w:val="auto"/>
          <w:kern w:val="0"/>
          <w:sz w:val="24"/>
          <w:highlight w:val="none"/>
        </w:rPr>
        <w:t>提出异议的日期。</w:t>
      </w:r>
    </w:p>
    <w:p w14:paraId="0D7D7AF4">
      <w:pPr>
        <w:pStyle w:val="48"/>
        <w:spacing w:line="360" w:lineRule="auto"/>
        <w:ind w:firstLine="480"/>
        <w:rPr>
          <w:rFonts w:eastAsia="仿宋_GB2312" w:cs="仿宋_GB2312"/>
          <w:snapToGrid w:val="0"/>
          <w:color w:val="auto"/>
          <w:kern w:val="0"/>
          <w:sz w:val="24"/>
          <w:highlight w:val="none"/>
        </w:rPr>
      </w:pPr>
      <w:r>
        <w:rPr>
          <w:rFonts w:hint="eastAsia" w:eastAsia="仿宋_GB2312" w:cs="仿宋_GB2312"/>
          <w:color w:val="auto"/>
          <w:sz w:val="24"/>
          <w:highlight w:val="none"/>
          <w:lang w:bidi="ar"/>
        </w:rPr>
        <w:t>投标人如未按照上述要求提交异议书，招标人</w:t>
      </w:r>
      <w:r>
        <w:rPr>
          <w:rFonts w:hint="eastAsia" w:eastAsia="仿宋_GB2312" w:cs="仿宋_GB2312"/>
          <w:color w:val="auto"/>
          <w:sz w:val="24"/>
          <w:highlight w:val="none"/>
          <w:lang w:val="en-US" w:eastAsia="zh-CN" w:bidi="ar"/>
        </w:rPr>
        <w:t>或</w:t>
      </w:r>
      <w:r>
        <w:rPr>
          <w:rFonts w:hint="eastAsia" w:eastAsia="仿宋_GB2312" w:cs="仿宋_GB2312"/>
          <w:color w:val="auto"/>
          <w:sz w:val="24"/>
          <w:highlight w:val="none"/>
          <w:lang w:bidi="ar"/>
        </w:rPr>
        <w:t>招标代理机构有权要求投标人对材料予以修改，逾期未提交或未按照要求提交的异议函，招标人</w:t>
      </w:r>
      <w:r>
        <w:rPr>
          <w:rFonts w:hint="eastAsia" w:eastAsia="仿宋_GB2312" w:cs="仿宋_GB2312"/>
          <w:color w:val="auto"/>
          <w:sz w:val="24"/>
          <w:highlight w:val="none"/>
          <w:lang w:val="en-US" w:eastAsia="zh-CN" w:bidi="ar"/>
        </w:rPr>
        <w:t>或</w:t>
      </w:r>
      <w:r>
        <w:rPr>
          <w:rFonts w:hint="eastAsia" w:eastAsia="仿宋_GB2312" w:cs="仿宋_GB2312"/>
          <w:color w:val="auto"/>
          <w:sz w:val="24"/>
          <w:highlight w:val="none"/>
          <w:lang w:bidi="ar"/>
        </w:rPr>
        <w:t>招标代理机构将不予受理。</w:t>
      </w:r>
    </w:p>
    <w:p w14:paraId="21E2A45B">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10.2投诉</w:t>
      </w:r>
    </w:p>
    <w:p w14:paraId="0EC80181">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14:paraId="29EE63CE">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39779EEE">
      <w:pPr>
        <w:pStyle w:val="9"/>
        <w:adjustRightInd w:val="0"/>
        <w:snapToGrid w:val="0"/>
        <w:spacing w:after="0" w:line="360" w:lineRule="auto"/>
        <w:ind w:firstLine="480" w:firstLineChars="200"/>
        <w:jc w:val="left"/>
        <w:rPr>
          <w:rFonts w:eastAsia="仿宋_GB2312" w:cs="仿宋_GB2312"/>
          <w:snapToGrid w:val="0"/>
          <w:color w:val="auto"/>
          <w:kern w:val="0"/>
          <w:sz w:val="24"/>
          <w:szCs w:val="24"/>
          <w:highlight w:val="none"/>
        </w:rPr>
      </w:pPr>
      <w:r>
        <w:rPr>
          <w:rFonts w:hint="eastAsia" w:eastAsia="仿宋_GB2312" w:cs="仿宋_GB2312"/>
          <w:snapToGrid w:val="0"/>
          <w:color w:val="auto"/>
          <w:kern w:val="0"/>
          <w:sz w:val="24"/>
          <w:szCs w:val="24"/>
          <w:highlight w:val="none"/>
        </w:rPr>
        <w:t>10.2.3因有异议，招标人具有最终解释权，并对由此而引起的对投标人的影响不承担责任，也不解释原因。</w:t>
      </w:r>
    </w:p>
    <w:p w14:paraId="3D18DE6D">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10.3纪律和监督</w:t>
      </w:r>
    </w:p>
    <w:p w14:paraId="7E19C22D">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3D3B3C99">
      <w:pPr>
        <w:adjustRightInd w:val="0"/>
        <w:snapToGrid w:val="0"/>
        <w:spacing w:line="360" w:lineRule="auto"/>
        <w:ind w:firstLine="480" w:firstLineChars="200"/>
        <w:rPr>
          <w:rFonts w:cs="仿宋_GB2312"/>
          <w:snapToGrid w:val="0"/>
          <w:color w:val="auto"/>
          <w:kern w:val="0"/>
          <w:sz w:val="24"/>
          <w:highlight w:val="none"/>
        </w:rPr>
      </w:pPr>
      <w:bookmarkStart w:id="92" w:name="_bookmark69"/>
      <w:bookmarkEnd w:id="92"/>
      <w:r>
        <w:rPr>
          <w:rFonts w:hint="eastAsia" w:cs="仿宋_GB2312"/>
          <w:snapToGrid w:val="0"/>
          <w:color w:val="auto"/>
          <w:ker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3" w:name="_bookmark70"/>
      <w:bookmarkEnd w:id="93"/>
    </w:p>
    <w:p w14:paraId="249083FD">
      <w:pPr>
        <w:adjustRightInd w:val="0"/>
        <w:snapToGrid w:val="0"/>
        <w:spacing w:line="360" w:lineRule="auto"/>
        <w:ind w:firstLine="480" w:firstLineChars="200"/>
        <w:rPr>
          <w:rFonts w:cs="仿宋_GB2312"/>
          <w:snapToGrid w:val="0"/>
          <w:color w:val="auto"/>
          <w:kern w:val="0"/>
          <w:sz w:val="24"/>
          <w:highlight w:val="none"/>
        </w:rPr>
      </w:pPr>
      <w:r>
        <w:rPr>
          <w:rFonts w:hint="eastAsia" w:cs="仿宋_GB2312"/>
          <w:snapToGrid w:val="0"/>
          <w:color w:val="auto"/>
          <w:ker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5724428C">
      <w:pPr>
        <w:adjustRightInd w:val="0"/>
        <w:snapToGrid w:val="0"/>
        <w:spacing w:line="360" w:lineRule="auto"/>
        <w:ind w:firstLine="480" w:firstLineChars="200"/>
        <w:rPr>
          <w:rFonts w:cs="仿宋_GB2312"/>
          <w:snapToGrid w:val="0"/>
          <w:color w:val="auto"/>
          <w:kern w:val="0"/>
          <w:sz w:val="24"/>
          <w:highlight w:val="none"/>
        </w:rPr>
      </w:pPr>
      <w:bookmarkStart w:id="94" w:name="_bookmark71"/>
      <w:bookmarkEnd w:id="94"/>
      <w:r>
        <w:rPr>
          <w:rFonts w:hint="eastAsia" w:cs="仿宋_GB2312"/>
          <w:snapToGrid w:val="0"/>
          <w:color w:val="auto"/>
          <w:ker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519D332">
      <w:pPr>
        <w:snapToGrid w:val="0"/>
        <w:spacing w:line="360" w:lineRule="auto"/>
        <w:jc w:val="center"/>
        <w:outlineLvl w:val="1"/>
        <w:rPr>
          <w:rFonts w:cs="仿宋_GB2312"/>
          <w:b/>
          <w:snapToGrid w:val="0"/>
          <w:color w:val="auto"/>
          <w:kern w:val="0"/>
          <w:sz w:val="24"/>
          <w:highlight w:val="none"/>
        </w:rPr>
      </w:pPr>
      <w:bookmarkStart w:id="95" w:name="_bookmark72"/>
      <w:bookmarkEnd w:id="95"/>
      <w:bookmarkStart w:id="96" w:name="_bookmark74"/>
      <w:bookmarkEnd w:id="96"/>
      <w:bookmarkStart w:id="97" w:name="_bookmark73"/>
      <w:bookmarkEnd w:id="97"/>
      <w:bookmarkStart w:id="98" w:name="_Toc24016"/>
      <w:bookmarkStart w:id="99" w:name="_Toc83886025"/>
      <w:bookmarkStart w:id="100" w:name="_Toc15952"/>
      <w:r>
        <w:rPr>
          <w:rFonts w:hint="eastAsia" w:cs="仿宋_GB2312"/>
          <w:b/>
          <w:snapToGrid w:val="0"/>
          <w:color w:val="auto"/>
          <w:kern w:val="0"/>
          <w:sz w:val="24"/>
          <w:highlight w:val="none"/>
        </w:rPr>
        <w:t>11、需要补充的其他内容</w:t>
      </w:r>
      <w:bookmarkEnd w:id="98"/>
      <w:bookmarkEnd w:id="99"/>
      <w:bookmarkEnd w:id="100"/>
    </w:p>
    <w:p w14:paraId="6AC7F2F0">
      <w:pPr>
        <w:keepNext/>
        <w:keepLines/>
        <w:adjustRightInd w:val="0"/>
        <w:snapToGrid w:val="0"/>
        <w:spacing w:line="360" w:lineRule="auto"/>
        <w:jc w:val="left"/>
        <w:outlineLvl w:val="2"/>
        <w:rPr>
          <w:rFonts w:cs="仿宋_GB2312"/>
          <w:b/>
          <w:bCs/>
          <w:snapToGrid w:val="0"/>
          <w:color w:val="auto"/>
          <w:kern w:val="0"/>
          <w:sz w:val="24"/>
          <w:highlight w:val="none"/>
        </w:rPr>
      </w:pPr>
      <w:r>
        <w:rPr>
          <w:rFonts w:hint="eastAsia" w:cs="仿宋_GB2312"/>
          <w:b/>
          <w:bCs/>
          <w:snapToGrid w:val="0"/>
          <w:color w:val="auto"/>
          <w:kern w:val="0"/>
          <w:sz w:val="24"/>
          <w:highlight w:val="none"/>
        </w:rPr>
        <w:t>11.1需要补充的其他内容</w:t>
      </w:r>
    </w:p>
    <w:p w14:paraId="13BFCFDC">
      <w:pPr>
        <w:adjustRightInd w:val="0"/>
        <w:snapToGrid w:val="0"/>
        <w:spacing w:line="360" w:lineRule="auto"/>
        <w:ind w:firstLine="480" w:firstLineChars="200"/>
        <w:jc w:val="left"/>
        <w:rPr>
          <w:rFonts w:cs="仿宋_GB2312"/>
          <w:snapToGrid w:val="0"/>
          <w:color w:val="auto"/>
          <w:kern w:val="0"/>
          <w:sz w:val="24"/>
          <w:highlight w:val="none"/>
        </w:rPr>
      </w:pPr>
      <w:r>
        <w:rPr>
          <w:rFonts w:hint="eastAsia" w:cs="仿宋_GB2312"/>
          <w:snapToGrid w:val="0"/>
          <w:color w:val="auto"/>
          <w:kern w:val="0"/>
          <w:sz w:val="24"/>
          <w:highlight w:val="none"/>
        </w:rPr>
        <w:t>11.1.1需要补充的其他内容：见投标人须知前附表。</w:t>
      </w:r>
    </w:p>
    <w:p w14:paraId="4095E956">
      <w:pPr>
        <w:widowControl/>
        <w:numPr>
          <w:ilvl w:val="0"/>
          <w:numId w:val="3"/>
        </w:numPr>
        <w:spacing w:line="360" w:lineRule="auto"/>
        <w:jc w:val="center"/>
        <w:outlineLvl w:val="0"/>
        <w:rPr>
          <w:rFonts w:eastAsia="黑体" w:cs="黑体"/>
          <w:bCs/>
          <w:color w:val="auto"/>
          <w:kern w:val="44"/>
          <w:szCs w:val="44"/>
          <w:highlight w:val="none"/>
        </w:rPr>
      </w:pPr>
      <w:r>
        <w:rPr>
          <w:rFonts w:hint="eastAsia" w:cs="宋体"/>
          <w:bCs/>
          <w:color w:val="auto"/>
          <w:highlight w:val="none"/>
        </w:rPr>
        <w:br w:type="page"/>
      </w:r>
      <w:bookmarkStart w:id="101" w:name="_Toc29576"/>
      <w:r>
        <w:rPr>
          <w:rFonts w:hint="eastAsia" w:eastAsia="黑体" w:cs="黑体"/>
          <w:bCs/>
          <w:color w:val="auto"/>
          <w:kern w:val="44"/>
          <w:szCs w:val="44"/>
          <w:highlight w:val="none"/>
        </w:rPr>
        <w:t>用户需求及技术要求</w:t>
      </w:r>
      <w:bookmarkEnd w:id="101"/>
    </w:p>
    <w:p w14:paraId="52256DD8">
      <w:pPr>
        <w:widowControl/>
        <w:spacing w:line="360" w:lineRule="auto"/>
        <w:ind w:firstLine="482"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一、项目概况</w:t>
      </w:r>
    </w:p>
    <w:p w14:paraId="00F3DD00">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1.设备信息</w:t>
      </w:r>
    </w:p>
    <w:p w14:paraId="26720133">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使用条件：垃圾仓内</w:t>
      </w:r>
    </w:p>
    <w:p w14:paraId="7EA4BDD8">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使用地点：杭州临江环境能源有限公司</w:t>
      </w:r>
    </w:p>
    <w:p w14:paraId="1113F548">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现场海拔：平均海平面上20～60m</w:t>
      </w:r>
    </w:p>
    <w:p w14:paraId="45B572F1">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使用环境温度：20-50°C</w:t>
      </w:r>
    </w:p>
    <w:p w14:paraId="5D0772B2">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设备型号：QZLY20T  A8</w:t>
      </w:r>
    </w:p>
    <w:p w14:paraId="01C80D21">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生产厂家：科尼起重机设备（上海）有限公司（注：芬兰）</w:t>
      </w:r>
    </w:p>
    <w:p w14:paraId="72AC6521">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投用时间：2020年</w:t>
      </w:r>
    </w:p>
    <w:p w14:paraId="5AB0A165">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用途：用于垃圾仓内的垃圾倒料、堆料、拌料、上料等功能</w:t>
      </w:r>
    </w:p>
    <w:p w14:paraId="452C7A94">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2.设备状态</w:t>
      </w:r>
    </w:p>
    <w:p w14:paraId="56676644">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垃圾抓斗起重机自投入使用至今未进行过大修，由于垃圾仓内环境恶劣（腐蚀、潮湿）导致车上检测开关及电气元件频繁损坏，故障频率逐渐升高。</w:t>
      </w:r>
    </w:p>
    <w:p w14:paraId="57CB2B20">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3.设备配置</w:t>
      </w:r>
    </w:p>
    <w:p w14:paraId="28423E19">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控制系统：西门子S7-300系列</w:t>
      </w:r>
    </w:p>
    <w:p w14:paraId="105505E6">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通讯方式：Profibus-DP</w:t>
      </w:r>
    </w:p>
    <w:p w14:paraId="28D0009A">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操作方式：座椅+检修遥控</w:t>
      </w:r>
    </w:p>
    <w:p w14:paraId="4EB3E8B0">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驱动系统：科尼变频器，输入380VAC，输出500VAC，AFE四象限一体式变频器。</w:t>
      </w:r>
    </w:p>
    <w:p w14:paraId="66F2927C">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定位系统：电机带增量型编码器</w:t>
      </w:r>
    </w:p>
    <w:p w14:paraId="02EA8421">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坑壁防护系统：磁感开关</w:t>
      </w:r>
    </w:p>
    <w:p w14:paraId="79DB9ABC">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称重系统：科尼</w:t>
      </w:r>
    </w:p>
    <w:p w14:paraId="78CC19B4">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监控系统：科尼</w:t>
      </w:r>
    </w:p>
    <w:p w14:paraId="49030574">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控制座椅：科尼PN</w:t>
      </w:r>
    </w:p>
    <w:p w14:paraId="13F4FEBF">
      <w:pPr>
        <w:spacing w:line="360" w:lineRule="auto"/>
        <w:ind w:firstLine="723" w:firstLineChars="300"/>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二、服务期限：</w:t>
      </w:r>
      <w:r>
        <w:rPr>
          <w:rFonts w:hint="eastAsia" w:ascii="仿宋_GB2312" w:hAnsi="仿宋_GB2312" w:cs="仿宋_GB2312"/>
          <w:color w:val="auto"/>
          <w:sz w:val="24"/>
          <w:highlight w:val="none"/>
        </w:rPr>
        <w:t>自合同签订后4年，4年内根据招标人计划逐台完成</w:t>
      </w:r>
      <w:r>
        <w:rPr>
          <w:rFonts w:hint="eastAsia" w:ascii="仿宋_GB2312" w:hAnsi="仿宋_GB2312" w:cs="仿宋_GB2312"/>
          <w:color w:val="auto"/>
          <w:sz w:val="24"/>
          <w:highlight w:val="none"/>
          <w:u w:val="single"/>
        </w:rPr>
        <w:t>6台</w:t>
      </w:r>
      <w:r>
        <w:rPr>
          <w:rFonts w:hint="eastAsia" w:ascii="仿宋_GB2312" w:hAnsi="仿宋_GB2312" w:cs="仿宋_GB2312"/>
          <w:color w:val="auto"/>
          <w:sz w:val="24"/>
          <w:highlight w:val="none"/>
        </w:rPr>
        <w:t>垃圾吊改造，每台改造期限自招标人起通知90天内完成。</w:t>
      </w:r>
    </w:p>
    <w:p w14:paraId="38DDA36E">
      <w:pPr>
        <w:spacing w:line="360" w:lineRule="auto"/>
        <w:ind w:firstLine="720" w:firstLineChars="300"/>
        <w:rPr>
          <w:rFonts w:hint="eastAsia" w:ascii="仿宋_GB2312" w:hAnsi="仿宋_GB2312" w:cs="仿宋_GB2312"/>
          <w:b/>
          <w:bCs/>
          <w:color w:val="auto"/>
          <w:sz w:val="24"/>
          <w:highlight w:val="none"/>
        </w:rPr>
      </w:pPr>
      <w:r>
        <w:rPr>
          <w:rFonts w:hint="eastAsia" w:ascii="仿宋_GB2312" w:hAnsi="仿宋_GB2312" w:cs="仿宋_GB2312"/>
          <w:color w:val="auto"/>
          <w:sz w:val="24"/>
          <w:highlight w:val="none"/>
        </w:rPr>
        <w:t>三、</w:t>
      </w:r>
      <w:r>
        <w:rPr>
          <w:rFonts w:hint="eastAsia" w:ascii="仿宋_GB2312" w:hAnsi="仿宋_GB2312" w:cs="仿宋_GB2312"/>
          <w:b/>
          <w:bCs/>
          <w:color w:val="auto"/>
          <w:sz w:val="24"/>
          <w:highlight w:val="none"/>
        </w:rPr>
        <w:t>服务内容</w:t>
      </w:r>
    </w:p>
    <w:p w14:paraId="29D375B9">
      <w:pPr>
        <w:spacing w:line="360" w:lineRule="auto"/>
        <w:ind w:firstLine="523" w:firstLineChars="217"/>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1.PLC系统升级</w:t>
      </w:r>
    </w:p>
    <w:p w14:paraId="30580DFA">
      <w:pPr>
        <w:spacing w:line="360" w:lineRule="auto"/>
        <w:ind w:left="621" w:leftChars="194" w:firstLine="163" w:firstLineChars="68"/>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原有6台PLC系统采用西门子S7-300 ，涉及硬件清单如下：</w:t>
      </w:r>
    </w:p>
    <w:tbl>
      <w:tblPr>
        <w:tblStyle w:val="2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54"/>
        <w:gridCol w:w="1216"/>
        <w:gridCol w:w="884"/>
        <w:gridCol w:w="1412"/>
        <w:gridCol w:w="3332"/>
      </w:tblGrid>
      <w:tr w14:paraId="3163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78" w:type="dxa"/>
            <w:vAlign w:val="center"/>
          </w:tcPr>
          <w:p w14:paraId="3D1D0C82">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序号</w:t>
            </w:r>
          </w:p>
        </w:tc>
        <w:tc>
          <w:tcPr>
            <w:tcW w:w="1854" w:type="dxa"/>
            <w:vAlign w:val="center"/>
          </w:tcPr>
          <w:p w14:paraId="1E75A528">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名称</w:t>
            </w:r>
          </w:p>
        </w:tc>
        <w:tc>
          <w:tcPr>
            <w:tcW w:w="1216" w:type="dxa"/>
            <w:vAlign w:val="center"/>
          </w:tcPr>
          <w:p w14:paraId="224D9F6A">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单位</w:t>
            </w:r>
          </w:p>
        </w:tc>
        <w:tc>
          <w:tcPr>
            <w:tcW w:w="884" w:type="dxa"/>
            <w:vAlign w:val="center"/>
          </w:tcPr>
          <w:p w14:paraId="16E95B9C">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数量</w:t>
            </w:r>
          </w:p>
        </w:tc>
        <w:tc>
          <w:tcPr>
            <w:tcW w:w="1412" w:type="dxa"/>
            <w:vAlign w:val="center"/>
          </w:tcPr>
          <w:p w14:paraId="116C28B2">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品牌</w:t>
            </w:r>
          </w:p>
        </w:tc>
        <w:tc>
          <w:tcPr>
            <w:tcW w:w="3332" w:type="dxa"/>
            <w:vAlign w:val="center"/>
          </w:tcPr>
          <w:p w14:paraId="7D61F0E7">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型号参数</w:t>
            </w:r>
          </w:p>
        </w:tc>
      </w:tr>
      <w:tr w14:paraId="1289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5D20CA6C">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1</w:t>
            </w:r>
          </w:p>
        </w:tc>
        <w:tc>
          <w:tcPr>
            <w:tcW w:w="1854" w:type="dxa"/>
            <w:vAlign w:val="center"/>
          </w:tcPr>
          <w:p w14:paraId="4E026BE6">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CPU中央处理器</w:t>
            </w:r>
          </w:p>
        </w:tc>
        <w:tc>
          <w:tcPr>
            <w:tcW w:w="1216" w:type="dxa"/>
            <w:vAlign w:val="center"/>
          </w:tcPr>
          <w:p w14:paraId="4DF22827">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块</w:t>
            </w:r>
          </w:p>
        </w:tc>
        <w:tc>
          <w:tcPr>
            <w:tcW w:w="884" w:type="dxa"/>
            <w:vAlign w:val="center"/>
          </w:tcPr>
          <w:p w14:paraId="5DFB3296">
            <w:pPr>
              <w:widowControl/>
              <w:spacing w:line="160" w:lineRule="atLeast"/>
              <w:ind w:firstLine="240" w:firstLineChars="100"/>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w:t>
            </w:r>
          </w:p>
        </w:tc>
        <w:tc>
          <w:tcPr>
            <w:tcW w:w="1412" w:type="dxa"/>
            <w:vAlign w:val="center"/>
          </w:tcPr>
          <w:p w14:paraId="08D09D35">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西门子</w:t>
            </w:r>
          </w:p>
        </w:tc>
        <w:tc>
          <w:tcPr>
            <w:tcW w:w="3332" w:type="dxa"/>
            <w:vAlign w:val="center"/>
          </w:tcPr>
          <w:p w14:paraId="462B9F45">
            <w:pPr>
              <w:widowControl/>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6ES7317-2FK14-0AB0</w:t>
            </w:r>
          </w:p>
        </w:tc>
      </w:tr>
      <w:tr w14:paraId="1712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4FD22ECD">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2</w:t>
            </w:r>
          </w:p>
        </w:tc>
        <w:tc>
          <w:tcPr>
            <w:tcW w:w="1854" w:type="dxa"/>
            <w:vAlign w:val="center"/>
          </w:tcPr>
          <w:p w14:paraId="4D5A411E">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CPU存储器</w:t>
            </w:r>
          </w:p>
        </w:tc>
        <w:tc>
          <w:tcPr>
            <w:tcW w:w="1216" w:type="dxa"/>
            <w:vAlign w:val="center"/>
          </w:tcPr>
          <w:p w14:paraId="1A810327">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张</w:t>
            </w:r>
          </w:p>
        </w:tc>
        <w:tc>
          <w:tcPr>
            <w:tcW w:w="884" w:type="dxa"/>
            <w:vAlign w:val="center"/>
          </w:tcPr>
          <w:p w14:paraId="6262AE2E">
            <w:pPr>
              <w:widowControl/>
              <w:spacing w:line="160" w:lineRule="atLeast"/>
              <w:ind w:firstLine="240" w:firstLineChars="100"/>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w:t>
            </w:r>
          </w:p>
        </w:tc>
        <w:tc>
          <w:tcPr>
            <w:tcW w:w="1412" w:type="dxa"/>
            <w:vAlign w:val="center"/>
          </w:tcPr>
          <w:p w14:paraId="7EC111B2">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西门子</w:t>
            </w:r>
          </w:p>
        </w:tc>
        <w:tc>
          <w:tcPr>
            <w:tcW w:w="3332" w:type="dxa"/>
            <w:vAlign w:val="center"/>
          </w:tcPr>
          <w:p w14:paraId="4FD0C496">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6ES7953-8LL31-0AA0</w:t>
            </w:r>
          </w:p>
        </w:tc>
      </w:tr>
      <w:tr w14:paraId="2AAC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3E2FE91A">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3</w:t>
            </w:r>
          </w:p>
        </w:tc>
        <w:tc>
          <w:tcPr>
            <w:tcW w:w="1854" w:type="dxa"/>
            <w:vAlign w:val="center"/>
          </w:tcPr>
          <w:p w14:paraId="4F0E5D3E">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总线连接器</w:t>
            </w:r>
          </w:p>
        </w:tc>
        <w:tc>
          <w:tcPr>
            <w:tcW w:w="1216" w:type="dxa"/>
            <w:vAlign w:val="center"/>
          </w:tcPr>
          <w:p w14:paraId="751BE258">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块</w:t>
            </w:r>
          </w:p>
        </w:tc>
        <w:tc>
          <w:tcPr>
            <w:tcW w:w="884" w:type="dxa"/>
            <w:vAlign w:val="center"/>
          </w:tcPr>
          <w:p w14:paraId="49C74D78">
            <w:pPr>
              <w:widowControl/>
              <w:spacing w:line="160" w:lineRule="atLeast"/>
              <w:ind w:firstLine="240" w:firstLineChars="100"/>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18</w:t>
            </w:r>
          </w:p>
        </w:tc>
        <w:tc>
          <w:tcPr>
            <w:tcW w:w="1412" w:type="dxa"/>
            <w:vAlign w:val="center"/>
          </w:tcPr>
          <w:p w14:paraId="7DF3C60A">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西门子</w:t>
            </w:r>
          </w:p>
        </w:tc>
        <w:tc>
          <w:tcPr>
            <w:tcW w:w="3332" w:type="dxa"/>
            <w:vAlign w:val="center"/>
          </w:tcPr>
          <w:p w14:paraId="0C01587C">
            <w:pPr>
              <w:widowControl/>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6ES7972-0BB42-0XA0</w:t>
            </w:r>
          </w:p>
        </w:tc>
      </w:tr>
      <w:tr w14:paraId="3FBC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2D56A4CD">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4</w:t>
            </w:r>
          </w:p>
        </w:tc>
        <w:tc>
          <w:tcPr>
            <w:tcW w:w="1854" w:type="dxa"/>
            <w:vAlign w:val="center"/>
          </w:tcPr>
          <w:p w14:paraId="6FFD1AC5">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数字输入模块</w:t>
            </w:r>
          </w:p>
        </w:tc>
        <w:tc>
          <w:tcPr>
            <w:tcW w:w="1216" w:type="dxa"/>
            <w:vAlign w:val="center"/>
          </w:tcPr>
          <w:p w14:paraId="5BF8F0A6">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块</w:t>
            </w:r>
          </w:p>
        </w:tc>
        <w:tc>
          <w:tcPr>
            <w:tcW w:w="884" w:type="dxa"/>
            <w:vAlign w:val="center"/>
          </w:tcPr>
          <w:p w14:paraId="7834FE85">
            <w:pPr>
              <w:widowControl/>
              <w:spacing w:line="160" w:lineRule="atLeast"/>
              <w:ind w:firstLine="240" w:firstLineChars="100"/>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18</w:t>
            </w:r>
          </w:p>
        </w:tc>
        <w:tc>
          <w:tcPr>
            <w:tcW w:w="1412" w:type="dxa"/>
            <w:vAlign w:val="center"/>
          </w:tcPr>
          <w:p w14:paraId="24153BF0">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西门子</w:t>
            </w:r>
          </w:p>
        </w:tc>
        <w:tc>
          <w:tcPr>
            <w:tcW w:w="3332" w:type="dxa"/>
            <w:vAlign w:val="center"/>
          </w:tcPr>
          <w:p w14:paraId="5DA93755">
            <w:pPr>
              <w:widowControl/>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6ES7321-1BL00-0AA0</w:t>
            </w:r>
          </w:p>
        </w:tc>
      </w:tr>
      <w:tr w14:paraId="3825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444E020E">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5</w:t>
            </w:r>
          </w:p>
        </w:tc>
        <w:tc>
          <w:tcPr>
            <w:tcW w:w="1854" w:type="dxa"/>
            <w:vAlign w:val="center"/>
          </w:tcPr>
          <w:p w14:paraId="7FB19C36">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前连接器</w:t>
            </w:r>
          </w:p>
        </w:tc>
        <w:tc>
          <w:tcPr>
            <w:tcW w:w="1216" w:type="dxa"/>
            <w:vAlign w:val="center"/>
          </w:tcPr>
          <w:p w14:paraId="5BC2CE9C">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块</w:t>
            </w:r>
          </w:p>
        </w:tc>
        <w:tc>
          <w:tcPr>
            <w:tcW w:w="884" w:type="dxa"/>
            <w:vAlign w:val="center"/>
          </w:tcPr>
          <w:p w14:paraId="5B7D0E69">
            <w:pPr>
              <w:widowControl/>
              <w:spacing w:line="160" w:lineRule="atLeast"/>
              <w:ind w:firstLine="240" w:firstLineChars="100"/>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192</w:t>
            </w:r>
          </w:p>
        </w:tc>
        <w:tc>
          <w:tcPr>
            <w:tcW w:w="1412" w:type="dxa"/>
            <w:vAlign w:val="center"/>
          </w:tcPr>
          <w:p w14:paraId="679EC6E1">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西门子</w:t>
            </w:r>
          </w:p>
        </w:tc>
        <w:tc>
          <w:tcPr>
            <w:tcW w:w="3332" w:type="dxa"/>
            <w:vAlign w:val="center"/>
          </w:tcPr>
          <w:p w14:paraId="5140A5CA">
            <w:pPr>
              <w:widowControl/>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6ES7392-1AM00-0AA0</w:t>
            </w:r>
          </w:p>
        </w:tc>
      </w:tr>
      <w:tr w14:paraId="4611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035BF052">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w:t>
            </w:r>
          </w:p>
        </w:tc>
        <w:tc>
          <w:tcPr>
            <w:tcW w:w="1854" w:type="dxa"/>
            <w:vAlign w:val="center"/>
          </w:tcPr>
          <w:p w14:paraId="791F20E6">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数字输出模块</w:t>
            </w:r>
          </w:p>
        </w:tc>
        <w:tc>
          <w:tcPr>
            <w:tcW w:w="1216" w:type="dxa"/>
            <w:vAlign w:val="center"/>
          </w:tcPr>
          <w:p w14:paraId="3A3E10B7">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块</w:t>
            </w:r>
          </w:p>
        </w:tc>
        <w:tc>
          <w:tcPr>
            <w:tcW w:w="884" w:type="dxa"/>
            <w:vAlign w:val="center"/>
          </w:tcPr>
          <w:p w14:paraId="7A140B60">
            <w:pPr>
              <w:widowControl/>
              <w:spacing w:line="160" w:lineRule="atLeast"/>
              <w:ind w:firstLine="240" w:firstLineChars="100"/>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18</w:t>
            </w:r>
          </w:p>
        </w:tc>
        <w:tc>
          <w:tcPr>
            <w:tcW w:w="1412" w:type="dxa"/>
            <w:vAlign w:val="center"/>
          </w:tcPr>
          <w:p w14:paraId="6E056C57">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西门子</w:t>
            </w:r>
          </w:p>
        </w:tc>
        <w:tc>
          <w:tcPr>
            <w:tcW w:w="3332" w:type="dxa"/>
            <w:vAlign w:val="center"/>
          </w:tcPr>
          <w:p w14:paraId="611A3938">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6ES7322-1BH01-0AA0</w:t>
            </w:r>
          </w:p>
        </w:tc>
      </w:tr>
      <w:tr w14:paraId="4E87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3B3D91A4">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7</w:t>
            </w:r>
          </w:p>
        </w:tc>
        <w:tc>
          <w:tcPr>
            <w:tcW w:w="1854" w:type="dxa"/>
            <w:vAlign w:val="center"/>
          </w:tcPr>
          <w:p w14:paraId="44091878">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安全模块</w:t>
            </w:r>
          </w:p>
        </w:tc>
        <w:tc>
          <w:tcPr>
            <w:tcW w:w="1216" w:type="dxa"/>
            <w:vAlign w:val="center"/>
          </w:tcPr>
          <w:p w14:paraId="2BFC8FE8">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块</w:t>
            </w:r>
          </w:p>
        </w:tc>
        <w:tc>
          <w:tcPr>
            <w:tcW w:w="884" w:type="dxa"/>
            <w:vAlign w:val="center"/>
          </w:tcPr>
          <w:p w14:paraId="132988BB">
            <w:pPr>
              <w:widowControl/>
              <w:spacing w:line="160" w:lineRule="atLeast"/>
              <w:ind w:firstLine="240" w:firstLineChars="100"/>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42</w:t>
            </w:r>
          </w:p>
        </w:tc>
        <w:tc>
          <w:tcPr>
            <w:tcW w:w="1412" w:type="dxa"/>
            <w:vAlign w:val="center"/>
          </w:tcPr>
          <w:p w14:paraId="3B6F326B">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西门子</w:t>
            </w:r>
          </w:p>
        </w:tc>
        <w:tc>
          <w:tcPr>
            <w:tcW w:w="3332" w:type="dxa"/>
            <w:vAlign w:val="center"/>
          </w:tcPr>
          <w:p w14:paraId="33EE0D76">
            <w:pPr>
              <w:widowControl/>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6ES7326-1BK02-0AB0</w:t>
            </w:r>
          </w:p>
        </w:tc>
      </w:tr>
      <w:tr w14:paraId="5DAD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33A908AE">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8</w:t>
            </w:r>
          </w:p>
        </w:tc>
        <w:tc>
          <w:tcPr>
            <w:tcW w:w="1854" w:type="dxa"/>
            <w:vAlign w:val="center"/>
          </w:tcPr>
          <w:p w14:paraId="76BECD2E">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绝对值编码器</w:t>
            </w:r>
          </w:p>
        </w:tc>
        <w:tc>
          <w:tcPr>
            <w:tcW w:w="1216" w:type="dxa"/>
            <w:vAlign w:val="center"/>
          </w:tcPr>
          <w:p w14:paraId="10D252FA">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套</w:t>
            </w:r>
          </w:p>
        </w:tc>
        <w:tc>
          <w:tcPr>
            <w:tcW w:w="884" w:type="dxa"/>
            <w:vAlign w:val="center"/>
          </w:tcPr>
          <w:p w14:paraId="6FC5FEA2">
            <w:pPr>
              <w:widowControl/>
              <w:spacing w:line="160" w:lineRule="atLeast"/>
              <w:ind w:firstLine="240" w:firstLineChars="100"/>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w:t>
            </w:r>
          </w:p>
        </w:tc>
        <w:tc>
          <w:tcPr>
            <w:tcW w:w="1412" w:type="dxa"/>
            <w:vAlign w:val="center"/>
          </w:tcPr>
          <w:p w14:paraId="19C68770">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蒂尔</w:t>
            </w:r>
          </w:p>
        </w:tc>
        <w:tc>
          <w:tcPr>
            <w:tcW w:w="3332" w:type="dxa"/>
            <w:vAlign w:val="center"/>
          </w:tcPr>
          <w:p w14:paraId="70468D74">
            <w:pPr>
              <w:widowControl/>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CEV65M-01460</w:t>
            </w:r>
          </w:p>
        </w:tc>
      </w:tr>
      <w:tr w14:paraId="14B0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686F6DD0">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9</w:t>
            </w:r>
          </w:p>
        </w:tc>
        <w:tc>
          <w:tcPr>
            <w:tcW w:w="1854" w:type="dxa"/>
            <w:vAlign w:val="center"/>
          </w:tcPr>
          <w:p w14:paraId="15D4C032">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速度编码器</w:t>
            </w:r>
          </w:p>
        </w:tc>
        <w:tc>
          <w:tcPr>
            <w:tcW w:w="1216" w:type="dxa"/>
            <w:vAlign w:val="center"/>
          </w:tcPr>
          <w:p w14:paraId="1DDE0CC4">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套</w:t>
            </w:r>
          </w:p>
        </w:tc>
        <w:tc>
          <w:tcPr>
            <w:tcW w:w="884" w:type="dxa"/>
            <w:vAlign w:val="center"/>
          </w:tcPr>
          <w:p w14:paraId="6A9C836F">
            <w:pPr>
              <w:widowControl/>
              <w:spacing w:line="160" w:lineRule="atLeast"/>
              <w:ind w:firstLine="240" w:firstLineChars="100"/>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w:t>
            </w:r>
          </w:p>
        </w:tc>
        <w:tc>
          <w:tcPr>
            <w:tcW w:w="1412" w:type="dxa"/>
            <w:vAlign w:val="center"/>
          </w:tcPr>
          <w:p w14:paraId="116B1710">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法兰泰克</w:t>
            </w:r>
          </w:p>
        </w:tc>
        <w:tc>
          <w:tcPr>
            <w:tcW w:w="3332" w:type="dxa"/>
            <w:vAlign w:val="center"/>
          </w:tcPr>
          <w:p w14:paraId="54607D34">
            <w:pPr>
              <w:widowControl/>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NM701NR3</w:t>
            </w:r>
          </w:p>
        </w:tc>
      </w:tr>
      <w:tr w14:paraId="021D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78" w:type="dxa"/>
            <w:vAlign w:val="center"/>
          </w:tcPr>
          <w:p w14:paraId="435BB5F7">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10</w:t>
            </w:r>
          </w:p>
        </w:tc>
        <w:tc>
          <w:tcPr>
            <w:tcW w:w="1854" w:type="dxa"/>
            <w:vAlign w:val="center"/>
          </w:tcPr>
          <w:p w14:paraId="3060992D">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起升限位器</w:t>
            </w:r>
          </w:p>
        </w:tc>
        <w:tc>
          <w:tcPr>
            <w:tcW w:w="1216" w:type="dxa"/>
            <w:vAlign w:val="center"/>
          </w:tcPr>
          <w:p w14:paraId="04E12207">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台</w:t>
            </w:r>
          </w:p>
        </w:tc>
        <w:tc>
          <w:tcPr>
            <w:tcW w:w="884" w:type="dxa"/>
            <w:vAlign w:val="center"/>
          </w:tcPr>
          <w:p w14:paraId="4BE30F61">
            <w:pPr>
              <w:widowControl/>
              <w:spacing w:line="160" w:lineRule="atLeast"/>
              <w:ind w:firstLine="240" w:firstLineChars="100"/>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12</w:t>
            </w:r>
          </w:p>
        </w:tc>
        <w:tc>
          <w:tcPr>
            <w:tcW w:w="1412" w:type="dxa"/>
            <w:vAlign w:val="center"/>
          </w:tcPr>
          <w:p w14:paraId="60D1D5DA">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STROMAG</w:t>
            </w:r>
          </w:p>
        </w:tc>
        <w:tc>
          <w:tcPr>
            <w:tcW w:w="3332" w:type="dxa"/>
            <w:vAlign w:val="center"/>
          </w:tcPr>
          <w:p w14:paraId="6D05EF53">
            <w:pPr>
              <w:widowControl/>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GTES51-29BM-499-B3_151-</w:t>
            </w:r>
          </w:p>
          <w:p w14:paraId="17BB28E8">
            <w:pPr>
              <w:widowControl/>
              <w:jc w:val="center"/>
              <w:rPr>
                <w:rFonts w:hint="eastAsia" w:ascii="仿宋_GB2312" w:hAnsi="仿宋_GB2312" w:cs="仿宋_GB2312"/>
                <w:color w:val="auto"/>
                <w:sz w:val="24"/>
                <w:highlight w:val="none"/>
                <w:shd w:val="clear" w:color="auto" w:fill="FFFFFF"/>
              </w:rPr>
            </w:pPr>
            <w:r>
              <w:rPr>
                <w:rFonts w:ascii="仿宋_GB2312" w:hAnsi="仿宋_GB2312" w:cs="仿宋_GB2312"/>
                <w:color w:val="auto"/>
                <w:sz w:val="24"/>
                <w:highlight w:val="none"/>
                <w:shd w:val="clear" w:color="auto" w:fill="FFFFFF"/>
              </w:rPr>
              <w:t>08501</w:t>
            </w:r>
          </w:p>
        </w:tc>
      </w:tr>
      <w:tr w14:paraId="3C33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31695AA9">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11</w:t>
            </w:r>
          </w:p>
        </w:tc>
        <w:tc>
          <w:tcPr>
            <w:tcW w:w="1854" w:type="dxa"/>
            <w:vAlign w:val="center"/>
          </w:tcPr>
          <w:p w14:paraId="31C7E096">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限位开关</w:t>
            </w:r>
          </w:p>
        </w:tc>
        <w:tc>
          <w:tcPr>
            <w:tcW w:w="1216" w:type="dxa"/>
            <w:vAlign w:val="center"/>
          </w:tcPr>
          <w:p w14:paraId="5BFFA724">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个</w:t>
            </w:r>
          </w:p>
        </w:tc>
        <w:tc>
          <w:tcPr>
            <w:tcW w:w="884" w:type="dxa"/>
            <w:vAlign w:val="center"/>
          </w:tcPr>
          <w:p w14:paraId="79BC094F">
            <w:pPr>
              <w:widowControl/>
              <w:spacing w:line="160" w:lineRule="atLeast"/>
              <w:ind w:firstLine="240" w:firstLineChars="100"/>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64</w:t>
            </w:r>
          </w:p>
        </w:tc>
        <w:tc>
          <w:tcPr>
            <w:tcW w:w="1412" w:type="dxa"/>
            <w:vAlign w:val="center"/>
          </w:tcPr>
          <w:p w14:paraId="3DBE17DB">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PEPPERL</w:t>
            </w:r>
          </w:p>
        </w:tc>
        <w:tc>
          <w:tcPr>
            <w:tcW w:w="3332" w:type="dxa"/>
            <w:vAlign w:val="center"/>
          </w:tcPr>
          <w:p w14:paraId="40A605A6">
            <w:pPr>
              <w:widowControl/>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NBB20-U1-UU</w:t>
            </w:r>
          </w:p>
        </w:tc>
      </w:tr>
      <w:tr w14:paraId="4F22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78" w:type="dxa"/>
            <w:vAlign w:val="center"/>
          </w:tcPr>
          <w:p w14:paraId="2042BE0E">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12</w:t>
            </w:r>
          </w:p>
        </w:tc>
        <w:tc>
          <w:tcPr>
            <w:tcW w:w="1854" w:type="dxa"/>
            <w:vAlign w:val="center"/>
          </w:tcPr>
          <w:p w14:paraId="3B81E991">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红外测距仪</w:t>
            </w:r>
          </w:p>
        </w:tc>
        <w:tc>
          <w:tcPr>
            <w:tcW w:w="1216" w:type="dxa"/>
            <w:vAlign w:val="center"/>
          </w:tcPr>
          <w:p w14:paraId="01EA2849">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台</w:t>
            </w:r>
          </w:p>
        </w:tc>
        <w:tc>
          <w:tcPr>
            <w:tcW w:w="884" w:type="dxa"/>
            <w:vAlign w:val="center"/>
          </w:tcPr>
          <w:p w14:paraId="0F182C60">
            <w:pPr>
              <w:widowControl/>
              <w:spacing w:line="160" w:lineRule="atLeast"/>
              <w:ind w:firstLine="240" w:firstLineChars="100"/>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12</w:t>
            </w:r>
          </w:p>
        </w:tc>
        <w:tc>
          <w:tcPr>
            <w:tcW w:w="1412" w:type="dxa"/>
            <w:vAlign w:val="center"/>
          </w:tcPr>
          <w:p w14:paraId="2D6B06AA">
            <w:pPr>
              <w:widowControl/>
              <w:spacing w:line="160" w:lineRule="atLeast"/>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SICK</w:t>
            </w:r>
          </w:p>
        </w:tc>
        <w:tc>
          <w:tcPr>
            <w:tcW w:w="3332" w:type="dxa"/>
            <w:vAlign w:val="center"/>
          </w:tcPr>
          <w:p w14:paraId="7DEB838B">
            <w:pPr>
              <w:widowControl/>
              <w:jc w:val="center"/>
              <w:rPr>
                <w:rFonts w:hint="eastAsia" w:ascii="仿宋_GB2312" w:hAnsi="仿宋_GB2312" w:cs="仿宋_GB2312"/>
                <w:color w:val="auto"/>
                <w:sz w:val="24"/>
                <w:highlight w:val="none"/>
                <w:shd w:val="clear" w:color="auto" w:fill="FFFFFF"/>
              </w:rPr>
            </w:pPr>
            <w:r>
              <w:rPr>
                <w:rFonts w:hint="eastAsia" w:ascii="仿宋_GB2312" w:hAnsi="仿宋_GB2312" w:cs="仿宋_GB2312"/>
                <w:color w:val="auto"/>
                <w:sz w:val="24"/>
                <w:highlight w:val="none"/>
                <w:shd w:val="clear" w:color="auto" w:fill="FFFFFF"/>
              </w:rPr>
              <w:t>DR35</w:t>
            </w:r>
          </w:p>
        </w:tc>
      </w:tr>
    </w:tbl>
    <w:p w14:paraId="73B90428">
      <w:pPr>
        <w:spacing w:line="360" w:lineRule="auto"/>
        <w:ind w:firstLine="520" w:firstLineChars="217"/>
        <w:rPr>
          <w:rFonts w:hint="eastAsia" w:ascii="仿宋_GB2312" w:hAnsi="仿宋_GB2312" w:cs="仿宋_GB2312"/>
          <w:color w:val="auto"/>
          <w:sz w:val="24"/>
          <w:highlight w:val="none"/>
        </w:rPr>
      </w:pPr>
    </w:p>
    <w:p w14:paraId="1BE170DD">
      <w:pPr>
        <w:spacing w:line="360" w:lineRule="auto"/>
        <w:ind w:firstLine="523" w:firstLineChars="217"/>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升级后要求：</w:t>
      </w:r>
      <w:r>
        <w:rPr>
          <w:rFonts w:hint="eastAsia" w:ascii="仿宋_GB2312" w:hAnsi="仿宋_GB2312" w:cs="仿宋_GB2312"/>
          <w:color w:val="auto"/>
          <w:sz w:val="24"/>
          <w:highlight w:val="none"/>
        </w:rPr>
        <w:t>升级后的PLC系统CPU参数指标不低于西门子1518F-4 PN/DP 6E参数指标，PLC系统采用博途程序编程，升级后的PLC系统须与现场原有西门子系统匹配，通讯、接口、逻辑控制须满足设备运行要求。</w:t>
      </w:r>
    </w:p>
    <w:p w14:paraId="32B38B5A">
      <w:pPr>
        <w:spacing w:line="360" w:lineRule="auto"/>
        <w:ind w:firstLine="523" w:firstLineChars="217"/>
        <w:rPr>
          <w:rFonts w:hint="eastAsia" w:ascii="仿宋_GB2312" w:hAnsi="仿宋_GB2312" w:cs="仿宋_GB2312"/>
          <w:b/>
          <w:bCs/>
          <w:color w:val="auto"/>
          <w:sz w:val="24"/>
          <w:highlight w:val="none"/>
        </w:rPr>
      </w:pPr>
      <w:r>
        <w:rPr>
          <w:rFonts w:hint="eastAsia" w:ascii="仿宋_GB2312" w:hAnsi="仿宋_GB2312" w:cs="仿宋_GB2312"/>
          <w:b/>
          <w:bCs/>
          <w:color w:val="auto"/>
          <w:kern w:val="0"/>
          <w:sz w:val="24"/>
          <w:highlight w:val="none"/>
        </w:rPr>
        <w:t>2.</w:t>
      </w:r>
      <w:r>
        <w:rPr>
          <w:rFonts w:hint="eastAsia" w:ascii="仿宋_GB2312" w:hAnsi="仿宋_GB2312" w:cs="仿宋_GB2312"/>
          <w:b/>
          <w:bCs/>
          <w:color w:val="auto"/>
          <w:sz w:val="24"/>
          <w:highlight w:val="none"/>
        </w:rPr>
        <w:t>垃圾吊操作座椅更换</w:t>
      </w:r>
    </w:p>
    <w:p w14:paraId="2CF5D6F6">
      <w:pPr>
        <w:spacing w:line="360" w:lineRule="auto"/>
        <w:ind w:firstLine="520" w:firstLineChars="217"/>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原有6台L-S4操作座椅，涉及硬件清单如下：</w:t>
      </w:r>
    </w:p>
    <w:tbl>
      <w:tblPr>
        <w:tblStyle w:val="2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057"/>
        <w:gridCol w:w="859"/>
        <w:gridCol w:w="1529"/>
        <w:gridCol w:w="3607"/>
      </w:tblGrid>
      <w:tr w14:paraId="0C1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66" w:type="dxa"/>
            <w:vAlign w:val="center"/>
          </w:tcPr>
          <w:p w14:paraId="6E4457FB">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序号</w:t>
            </w:r>
          </w:p>
        </w:tc>
        <w:tc>
          <w:tcPr>
            <w:tcW w:w="2057" w:type="dxa"/>
            <w:vAlign w:val="center"/>
          </w:tcPr>
          <w:p w14:paraId="4EF0365D">
            <w:pPr>
              <w:spacing w:line="360" w:lineRule="auto"/>
              <w:ind w:firstLine="455" w:firstLineChars="217"/>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名称</w:t>
            </w:r>
          </w:p>
        </w:tc>
        <w:tc>
          <w:tcPr>
            <w:tcW w:w="859" w:type="dxa"/>
            <w:vAlign w:val="center"/>
          </w:tcPr>
          <w:p w14:paraId="70626320">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数量</w:t>
            </w:r>
          </w:p>
        </w:tc>
        <w:tc>
          <w:tcPr>
            <w:tcW w:w="1529" w:type="dxa"/>
            <w:vAlign w:val="center"/>
          </w:tcPr>
          <w:p w14:paraId="0981BE8F">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原有品牌</w:t>
            </w:r>
          </w:p>
        </w:tc>
        <w:tc>
          <w:tcPr>
            <w:tcW w:w="3607" w:type="dxa"/>
            <w:vAlign w:val="center"/>
          </w:tcPr>
          <w:p w14:paraId="51783835">
            <w:pPr>
              <w:spacing w:line="360" w:lineRule="auto"/>
              <w:ind w:firstLine="455" w:firstLineChars="217"/>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型号参数</w:t>
            </w:r>
          </w:p>
        </w:tc>
      </w:tr>
      <w:tr w14:paraId="762D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66" w:type="dxa"/>
            <w:vAlign w:val="center"/>
          </w:tcPr>
          <w:p w14:paraId="0B36A1F8">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1</w:t>
            </w:r>
          </w:p>
        </w:tc>
        <w:tc>
          <w:tcPr>
            <w:tcW w:w="2057" w:type="dxa"/>
            <w:vAlign w:val="center"/>
          </w:tcPr>
          <w:p w14:paraId="49F05626">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控制手柄（左）</w:t>
            </w:r>
          </w:p>
        </w:tc>
        <w:tc>
          <w:tcPr>
            <w:tcW w:w="859" w:type="dxa"/>
            <w:vAlign w:val="center"/>
          </w:tcPr>
          <w:p w14:paraId="2425CC58">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6</w:t>
            </w:r>
          </w:p>
        </w:tc>
        <w:tc>
          <w:tcPr>
            <w:tcW w:w="1529" w:type="dxa"/>
            <w:vAlign w:val="center"/>
          </w:tcPr>
          <w:p w14:paraId="591D0BF5">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W.GESSMANN</w:t>
            </w:r>
          </w:p>
        </w:tc>
        <w:tc>
          <w:tcPr>
            <w:tcW w:w="3607" w:type="dxa"/>
            <w:vAlign w:val="center"/>
          </w:tcPr>
          <w:p w14:paraId="4A60947D">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VV85B24-4DIRD-Z+Z-B</w:t>
            </w:r>
            <w:r>
              <w:rPr>
                <w:rFonts w:ascii="仿宋_GB2312" w:hAnsi="仿宋_GB2312" w:cs="仿宋_GB2312"/>
                <w:color w:val="auto"/>
                <w:sz w:val="21"/>
                <w:szCs w:val="21"/>
                <w:highlight w:val="none"/>
              </w:rPr>
              <w:t>E60133-X</w:t>
            </w:r>
          </w:p>
        </w:tc>
      </w:tr>
      <w:tr w14:paraId="78AF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66" w:type="dxa"/>
            <w:vAlign w:val="center"/>
          </w:tcPr>
          <w:p w14:paraId="450D9AB0">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2</w:t>
            </w:r>
          </w:p>
        </w:tc>
        <w:tc>
          <w:tcPr>
            <w:tcW w:w="2057" w:type="dxa"/>
            <w:vAlign w:val="center"/>
          </w:tcPr>
          <w:p w14:paraId="35F43777">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控制手柄（右）</w:t>
            </w:r>
          </w:p>
        </w:tc>
        <w:tc>
          <w:tcPr>
            <w:tcW w:w="859" w:type="dxa"/>
            <w:vAlign w:val="center"/>
          </w:tcPr>
          <w:p w14:paraId="7500AEC9">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6</w:t>
            </w:r>
          </w:p>
        </w:tc>
        <w:tc>
          <w:tcPr>
            <w:tcW w:w="1529" w:type="dxa"/>
            <w:vAlign w:val="center"/>
          </w:tcPr>
          <w:p w14:paraId="363E5E10">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W.GESSMANN</w:t>
            </w:r>
          </w:p>
        </w:tc>
        <w:tc>
          <w:tcPr>
            <w:tcW w:w="3607" w:type="dxa"/>
            <w:vAlign w:val="center"/>
          </w:tcPr>
          <w:p w14:paraId="11AB6E32">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VV85B24-4DIRD-Z+Z-B</w:t>
            </w:r>
            <w:r>
              <w:rPr>
                <w:rFonts w:ascii="仿宋_GB2312" w:hAnsi="仿宋_GB2312" w:cs="仿宋_GB2312"/>
                <w:color w:val="auto"/>
                <w:sz w:val="21"/>
                <w:szCs w:val="21"/>
                <w:highlight w:val="none"/>
              </w:rPr>
              <w:t>E60133-X</w:t>
            </w:r>
          </w:p>
        </w:tc>
      </w:tr>
      <w:tr w14:paraId="3AC6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66" w:type="dxa"/>
            <w:vAlign w:val="center"/>
          </w:tcPr>
          <w:p w14:paraId="7567CF87">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3</w:t>
            </w:r>
          </w:p>
        </w:tc>
        <w:tc>
          <w:tcPr>
            <w:tcW w:w="2057" w:type="dxa"/>
            <w:vAlign w:val="center"/>
          </w:tcPr>
          <w:p w14:paraId="2A91670E">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触摸屏</w:t>
            </w:r>
          </w:p>
        </w:tc>
        <w:tc>
          <w:tcPr>
            <w:tcW w:w="859" w:type="dxa"/>
            <w:vAlign w:val="center"/>
          </w:tcPr>
          <w:p w14:paraId="272B450D">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6</w:t>
            </w:r>
          </w:p>
        </w:tc>
        <w:tc>
          <w:tcPr>
            <w:tcW w:w="1529" w:type="dxa"/>
            <w:vAlign w:val="center"/>
          </w:tcPr>
          <w:p w14:paraId="4204C9B5">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西门子</w:t>
            </w:r>
          </w:p>
        </w:tc>
        <w:tc>
          <w:tcPr>
            <w:tcW w:w="3607" w:type="dxa"/>
            <w:vAlign w:val="center"/>
          </w:tcPr>
          <w:p w14:paraId="4CBAF141">
            <w:pPr>
              <w:spacing w:line="360" w:lineRule="auto"/>
              <w:jc w:val="center"/>
              <w:rPr>
                <w:rFonts w:hint="eastAsia" w:ascii="仿宋_GB2312" w:hAnsi="仿宋_GB2312" w:cs="仿宋_GB2312"/>
                <w:color w:val="auto"/>
                <w:sz w:val="21"/>
                <w:szCs w:val="21"/>
                <w:highlight w:val="none"/>
              </w:rPr>
            </w:pPr>
            <w:r>
              <w:rPr>
                <w:rFonts w:ascii="仿宋_GB2312" w:hAnsi="仿宋_GB2312" w:cs="仿宋_GB2312"/>
                <w:color w:val="auto"/>
                <w:sz w:val="21"/>
                <w:szCs w:val="21"/>
                <w:highlight w:val="none"/>
              </w:rPr>
              <w:t>6AV2124-0GC01-0AX0</w:t>
            </w:r>
          </w:p>
        </w:tc>
      </w:tr>
      <w:tr w14:paraId="4CF1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66" w:type="dxa"/>
            <w:vAlign w:val="center"/>
          </w:tcPr>
          <w:p w14:paraId="610F09AE">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4</w:t>
            </w:r>
          </w:p>
        </w:tc>
        <w:tc>
          <w:tcPr>
            <w:tcW w:w="2057" w:type="dxa"/>
            <w:vAlign w:val="center"/>
          </w:tcPr>
          <w:p w14:paraId="18F3307B">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存储卡</w:t>
            </w:r>
          </w:p>
        </w:tc>
        <w:tc>
          <w:tcPr>
            <w:tcW w:w="859" w:type="dxa"/>
            <w:vAlign w:val="center"/>
          </w:tcPr>
          <w:p w14:paraId="4497911C">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6</w:t>
            </w:r>
          </w:p>
        </w:tc>
        <w:tc>
          <w:tcPr>
            <w:tcW w:w="1529" w:type="dxa"/>
            <w:vAlign w:val="center"/>
          </w:tcPr>
          <w:p w14:paraId="05A6C261">
            <w:pPr>
              <w:spacing w:line="360" w:lineRule="auto"/>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西门子</w:t>
            </w:r>
          </w:p>
        </w:tc>
        <w:tc>
          <w:tcPr>
            <w:tcW w:w="3607" w:type="dxa"/>
            <w:vAlign w:val="center"/>
          </w:tcPr>
          <w:p w14:paraId="697BC998">
            <w:pPr>
              <w:spacing w:line="360" w:lineRule="auto"/>
              <w:jc w:val="center"/>
              <w:rPr>
                <w:rFonts w:hint="eastAsia" w:ascii="仿宋_GB2312" w:hAnsi="仿宋_GB2312" w:cs="仿宋_GB2312"/>
                <w:color w:val="auto"/>
                <w:sz w:val="21"/>
                <w:szCs w:val="21"/>
                <w:highlight w:val="none"/>
              </w:rPr>
            </w:pPr>
            <w:r>
              <w:rPr>
                <w:rFonts w:ascii="仿宋_GB2312" w:hAnsi="仿宋_GB2312" w:cs="仿宋_GB2312"/>
                <w:color w:val="auto"/>
                <w:sz w:val="21"/>
                <w:szCs w:val="21"/>
                <w:highlight w:val="none"/>
              </w:rPr>
              <w:t>6AV2181-8XP00-0AX0</w:t>
            </w:r>
          </w:p>
        </w:tc>
      </w:tr>
    </w:tbl>
    <w:p w14:paraId="70B55A00">
      <w:pPr>
        <w:rPr>
          <w:rFonts w:hint="eastAsia" w:ascii="仿宋_GB2312" w:hAnsi="仿宋_GB2312" w:cs="仿宋_GB2312"/>
          <w:color w:val="auto"/>
          <w:sz w:val="24"/>
          <w:highlight w:val="none"/>
        </w:rPr>
      </w:pPr>
    </w:p>
    <w:p w14:paraId="784AB845">
      <w:pPr>
        <w:spacing w:line="360" w:lineRule="auto"/>
        <w:ind w:firstLine="482" w:firstLineChars="200"/>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更换后要求：</w:t>
      </w:r>
      <w:r>
        <w:rPr>
          <w:rFonts w:hint="eastAsia" w:ascii="仿宋_GB2312" w:hAnsi="仿宋_GB2312" w:cs="仿宋_GB2312"/>
          <w:color w:val="auto"/>
          <w:sz w:val="24"/>
          <w:highlight w:val="none"/>
        </w:rPr>
        <w:t>配置挡位感知智能化座椅，并与升级后的PLC系统配套使用。座椅上安装10/15寸人机交互触摸屏，操作员可时时观察垃圾吊行车运行状态，显示抓料重量、垃圾吊行车三维位置、上料统计重量（班统计、日统计、月统计、年统计）、限位状态、启动状态、各电机工作状态等各项参数。</w:t>
      </w:r>
    </w:p>
    <w:p w14:paraId="658C1C16">
      <w:pPr>
        <w:spacing w:line="360" w:lineRule="auto"/>
        <w:ind w:left="761"/>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3.加装工业无线收发器</w:t>
      </w:r>
    </w:p>
    <w:p w14:paraId="4B1E5CEC">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原有系统情况：仓内PLC信号通过以太网经光纤转换器转换为光信号，由光纤传输至控制室再经光纤转换器转接入以太网传送至上位机。由于光纤电缆安装在大、小滑车上经常被拉断，导致通讯中断。原系统涉及硬件如下：</w:t>
      </w:r>
    </w:p>
    <w:tbl>
      <w:tblPr>
        <w:tblStyle w:val="2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96"/>
        <w:gridCol w:w="871"/>
        <w:gridCol w:w="746"/>
        <w:gridCol w:w="1364"/>
        <w:gridCol w:w="3721"/>
      </w:tblGrid>
      <w:tr w14:paraId="4B3D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14:paraId="66DF96E9">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序号</w:t>
            </w:r>
          </w:p>
        </w:tc>
        <w:tc>
          <w:tcPr>
            <w:tcW w:w="1996" w:type="dxa"/>
            <w:vAlign w:val="center"/>
          </w:tcPr>
          <w:p w14:paraId="2AAD45EF">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名称</w:t>
            </w:r>
          </w:p>
        </w:tc>
        <w:tc>
          <w:tcPr>
            <w:tcW w:w="871" w:type="dxa"/>
            <w:vAlign w:val="center"/>
          </w:tcPr>
          <w:p w14:paraId="54609AC5">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单位</w:t>
            </w:r>
          </w:p>
        </w:tc>
        <w:tc>
          <w:tcPr>
            <w:tcW w:w="746" w:type="dxa"/>
            <w:vAlign w:val="center"/>
          </w:tcPr>
          <w:p w14:paraId="191E5335">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数量</w:t>
            </w:r>
          </w:p>
        </w:tc>
        <w:tc>
          <w:tcPr>
            <w:tcW w:w="1364" w:type="dxa"/>
            <w:vAlign w:val="center"/>
          </w:tcPr>
          <w:p w14:paraId="3B6AD15A">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原有品牌</w:t>
            </w:r>
          </w:p>
        </w:tc>
        <w:tc>
          <w:tcPr>
            <w:tcW w:w="3721" w:type="dxa"/>
            <w:vAlign w:val="center"/>
          </w:tcPr>
          <w:p w14:paraId="0BEE2CE9">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备注</w:t>
            </w:r>
          </w:p>
        </w:tc>
      </w:tr>
      <w:tr w14:paraId="4BE8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14E9CD7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1</w:t>
            </w:r>
          </w:p>
        </w:tc>
        <w:tc>
          <w:tcPr>
            <w:tcW w:w="1996" w:type="dxa"/>
            <w:vAlign w:val="center"/>
          </w:tcPr>
          <w:p w14:paraId="687BF80A">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通讯中间继电器</w:t>
            </w:r>
          </w:p>
        </w:tc>
        <w:tc>
          <w:tcPr>
            <w:tcW w:w="871" w:type="dxa"/>
            <w:vAlign w:val="center"/>
          </w:tcPr>
          <w:p w14:paraId="76E77F1B">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块</w:t>
            </w:r>
          </w:p>
        </w:tc>
        <w:tc>
          <w:tcPr>
            <w:tcW w:w="746" w:type="dxa"/>
            <w:vAlign w:val="center"/>
          </w:tcPr>
          <w:p w14:paraId="2A042918">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364" w:type="dxa"/>
            <w:vAlign w:val="center"/>
          </w:tcPr>
          <w:p w14:paraId="7CA941FA">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西门子</w:t>
            </w:r>
          </w:p>
        </w:tc>
        <w:tc>
          <w:tcPr>
            <w:tcW w:w="3721" w:type="dxa"/>
            <w:vAlign w:val="center"/>
          </w:tcPr>
          <w:p w14:paraId="0454FFDF">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6ES7972-0AA02-0XA0</w:t>
            </w:r>
          </w:p>
        </w:tc>
      </w:tr>
      <w:tr w14:paraId="1D0F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3AEC2EBD">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2</w:t>
            </w:r>
          </w:p>
        </w:tc>
        <w:tc>
          <w:tcPr>
            <w:tcW w:w="1996" w:type="dxa"/>
            <w:vAlign w:val="center"/>
          </w:tcPr>
          <w:p w14:paraId="11C9DCF5">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以太网交换机</w:t>
            </w:r>
          </w:p>
        </w:tc>
        <w:tc>
          <w:tcPr>
            <w:tcW w:w="871" w:type="dxa"/>
            <w:vAlign w:val="center"/>
          </w:tcPr>
          <w:p w14:paraId="082E63BF">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块</w:t>
            </w:r>
          </w:p>
        </w:tc>
        <w:tc>
          <w:tcPr>
            <w:tcW w:w="746" w:type="dxa"/>
            <w:vAlign w:val="center"/>
          </w:tcPr>
          <w:p w14:paraId="76B54776">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18</w:t>
            </w:r>
          </w:p>
        </w:tc>
        <w:tc>
          <w:tcPr>
            <w:tcW w:w="1364" w:type="dxa"/>
            <w:vAlign w:val="center"/>
          </w:tcPr>
          <w:p w14:paraId="23837919">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西门子</w:t>
            </w:r>
          </w:p>
        </w:tc>
        <w:tc>
          <w:tcPr>
            <w:tcW w:w="3721" w:type="dxa"/>
            <w:vAlign w:val="center"/>
          </w:tcPr>
          <w:p w14:paraId="05C9780C">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6GK5205-3BB00-2TB2</w:t>
            </w:r>
          </w:p>
        </w:tc>
      </w:tr>
      <w:tr w14:paraId="42A2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659F6F18">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3</w:t>
            </w:r>
          </w:p>
        </w:tc>
        <w:tc>
          <w:tcPr>
            <w:tcW w:w="1996" w:type="dxa"/>
            <w:vAlign w:val="center"/>
          </w:tcPr>
          <w:p w14:paraId="3075E601">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通讯模块</w:t>
            </w:r>
          </w:p>
        </w:tc>
        <w:tc>
          <w:tcPr>
            <w:tcW w:w="871" w:type="dxa"/>
            <w:vAlign w:val="center"/>
          </w:tcPr>
          <w:p w14:paraId="360578A0">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块</w:t>
            </w:r>
          </w:p>
        </w:tc>
        <w:tc>
          <w:tcPr>
            <w:tcW w:w="746" w:type="dxa"/>
            <w:vAlign w:val="center"/>
          </w:tcPr>
          <w:p w14:paraId="0AF157D0">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24</w:t>
            </w:r>
          </w:p>
        </w:tc>
        <w:tc>
          <w:tcPr>
            <w:tcW w:w="1364" w:type="dxa"/>
            <w:vAlign w:val="center"/>
          </w:tcPr>
          <w:p w14:paraId="67C27730">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西门子</w:t>
            </w:r>
          </w:p>
        </w:tc>
        <w:tc>
          <w:tcPr>
            <w:tcW w:w="3721" w:type="dxa"/>
            <w:vAlign w:val="center"/>
          </w:tcPr>
          <w:p w14:paraId="2A636838">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6ES7153-4BA00-0XB0</w:t>
            </w:r>
          </w:p>
        </w:tc>
      </w:tr>
      <w:tr w14:paraId="6C20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5D3B861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4</w:t>
            </w:r>
          </w:p>
        </w:tc>
        <w:tc>
          <w:tcPr>
            <w:tcW w:w="1996" w:type="dxa"/>
            <w:vAlign w:val="center"/>
          </w:tcPr>
          <w:p w14:paraId="4F93FED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称重模块</w:t>
            </w:r>
          </w:p>
        </w:tc>
        <w:tc>
          <w:tcPr>
            <w:tcW w:w="871" w:type="dxa"/>
            <w:vAlign w:val="center"/>
          </w:tcPr>
          <w:p w14:paraId="7BA459D0">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块</w:t>
            </w:r>
          </w:p>
        </w:tc>
        <w:tc>
          <w:tcPr>
            <w:tcW w:w="746" w:type="dxa"/>
            <w:vAlign w:val="center"/>
          </w:tcPr>
          <w:p w14:paraId="6B168D5A">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364" w:type="dxa"/>
            <w:vAlign w:val="center"/>
          </w:tcPr>
          <w:p w14:paraId="5B399B39">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3721" w:type="dxa"/>
            <w:vAlign w:val="center"/>
          </w:tcPr>
          <w:p w14:paraId="4C04B857">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WST 3</w:t>
            </w:r>
          </w:p>
        </w:tc>
      </w:tr>
      <w:tr w14:paraId="1510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41225AC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5</w:t>
            </w:r>
          </w:p>
        </w:tc>
        <w:tc>
          <w:tcPr>
            <w:tcW w:w="1996" w:type="dxa"/>
            <w:vAlign w:val="center"/>
          </w:tcPr>
          <w:p w14:paraId="5E022A63">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光纤转换器</w:t>
            </w:r>
          </w:p>
        </w:tc>
        <w:tc>
          <w:tcPr>
            <w:tcW w:w="871" w:type="dxa"/>
            <w:vAlign w:val="center"/>
          </w:tcPr>
          <w:p w14:paraId="1420EF7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块</w:t>
            </w:r>
          </w:p>
        </w:tc>
        <w:tc>
          <w:tcPr>
            <w:tcW w:w="746" w:type="dxa"/>
            <w:vAlign w:val="center"/>
          </w:tcPr>
          <w:p w14:paraId="4E902184">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24</w:t>
            </w:r>
          </w:p>
        </w:tc>
        <w:tc>
          <w:tcPr>
            <w:tcW w:w="1364" w:type="dxa"/>
            <w:vAlign w:val="center"/>
          </w:tcPr>
          <w:p w14:paraId="0A62AB02">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菲尼克斯</w:t>
            </w:r>
          </w:p>
        </w:tc>
        <w:tc>
          <w:tcPr>
            <w:tcW w:w="3721" w:type="dxa"/>
            <w:vAlign w:val="center"/>
          </w:tcPr>
          <w:p w14:paraId="06472E57">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PSI-MOS-PROFIB/FO 850 T</w:t>
            </w:r>
          </w:p>
          <w:p w14:paraId="73C98570">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SO</w:t>
            </w:r>
          </w:p>
        </w:tc>
      </w:tr>
      <w:tr w14:paraId="156B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4804C0A6">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996" w:type="dxa"/>
            <w:vAlign w:val="center"/>
          </w:tcPr>
          <w:p w14:paraId="795F848E">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光纤发射器</w:t>
            </w:r>
          </w:p>
        </w:tc>
        <w:tc>
          <w:tcPr>
            <w:tcW w:w="871" w:type="dxa"/>
            <w:vAlign w:val="center"/>
          </w:tcPr>
          <w:p w14:paraId="606D3D23">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套</w:t>
            </w:r>
          </w:p>
        </w:tc>
        <w:tc>
          <w:tcPr>
            <w:tcW w:w="746" w:type="dxa"/>
            <w:vAlign w:val="center"/>
          </w:tcPr>
          <w:p w14:paraId="59CF43CD">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12</w:t>
            </w:r>
          </w:p>
        </w:tc>
        <w:tc>
          <w:tcPr>
            <w:tcW w:w="1364" w:type="dxa"/>
            <w:vAlign w:val="center"/>
          </w:tcPr>
          <w:p w14:paraId="7F68F260">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菲尼克斯</w:t>
            </w:r>
          </w:p>
        </w:tc>
        <w:tc>
          <w:tcPr>
            <w:tcW w:w="3721" w:type="dxa"/>
            <w:vAlign w:val="center"/>
          </w:tcPr>
          <w:p w14:paraId="78274415">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1202387-01</w:t>
            </w:r>
          </w:p>
        </w:tc>
      </w:tr>
      <w:tr w14:paraId="3A57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658512A4">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7</w:t>
            </w:r>
          </w:p>
        </w:tc>
        <w:tc>
          <w:tcPr>
            <w:tcW w:w="1996" w:type="dxa"/>
            <w:vAlign w:val="center"/>
          </w:tcPr>
          <w:p w14:paraId="3D290E6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内部电脑</w:t>
            </w:r>
          </w:p>
        </w:tc>
        <w:tc>
          <w:tcPr>
            <w:tcW w:w="871" w:type="dxa"/>
            <w:vAlign w:val="center"/>
          </w:tcPr>
          <w:p w14:paraId="6B1B0DD6">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台</w:t>
            </w:r>
          </w:p>
        </w:tc>
        <w:tc>
          <w:tcPr>
            <w:tcW w:w="746" w:type="dxa"/>
            <w:vAlign w:val="center"/>
          </w:tcPr>
          <w:p w14:paraId="07EECB53">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364" w:type="dxa"/>
            <w:vAlign w:val="center"/>
          </w:tcPr>
          <w:p w14:paraId="6EFAD6F0">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3721" w:type="dxa"/>
            <w:vAlign w:val="center"/>
          </w:tcPr>
          <w:p w14:paraId="2814A056">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C6930-0060</w:t>
            </w:r>
          </w:p>
        </w:tc>
      </w:tr>
      <w:tr w14:paraId="200E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565950DA">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8</w:t>
            </w:r>
          </w:p>
        </w:tc>
        <w:tc>
          <w:tcPr>
            <w:tcW w:w="1996" w:type="dxa"/>
            <w:vAlign w:val="center"/>
          </w:tcPr>
          <w:p w14:paraId="3B7FB15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网关</w:t>
            </w:r>
          </w:p>
        </w:tc>
        <w:tc>
          <w:tcPr>
            <w:tcW w:w="871" w:type="dxa"/>
            <w:vAlign w:val="center"/>
          </w:tcPr>
          <w:p w14:paraId="2CC3DB0F">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块</w:t>
            </w:r>
          </w:p>
        </w:tc>
        <w:tc>
          <w:tcPr>
            <w:tcW w:w="746" w:type="dxa"/>
            <w:vAlign w:val="center"/>
          </w:tcPr>
          <w:p w14:paraId="70B7909C">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364" w:type="dxa"/>
            <w:vAlign w:val="center"/>
          </w:tcPr>
          <w:p w14:paraId="4D33996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西门子</w:t>
            </w:r>
          </w:p>
        </w:tc>
        <w:tc>
          <w:tcPr>
            <w:tcW w:w="3721" w:type="dxa"/>
            <w:vAlign w:val="center"/>
          </w:tcPr>
          <w:p w14:paraId="4F919BAD">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6GK1411-5AB10</w:t>
            </w:r>
          </w:p>
        </w:tc>
      </w:tr>
    </w:tbl>
    <w:p w14:paraId="573D744A">
      <w:pPr>
        <w:rPr>
          <w:rFonts w:hint="eastAsia" w:ascii="仿宋_GB2312" w:hAnsi="仿宋_GB2312" w:cs="仿宋_GB2312"/>
          <w:color w:val="auto"/>
          <w:sz w:val="24"/>
          <w:highlight w:val="none"/>
        </w:rPr>
      </w:pPr>
    </w:p>
    <w:p w14:paraId="6BA3237B">
      <w:pPr>
        <w:spacing w:line="360" w:lineRule="auto"/>
        <w:ind w:firstLine="482" w:firstLineChars="200"/>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加装后要求：</w:t>
      </w:r>
      <w:r>
        <w:rPr>
          <w:rFonts w:hint="eastAsia" w:ascii="仿宋_GB2312" w:hAnsi="仿宋_GB2312" w:cs="仿宋_GB2312"/>
          <w:color w:val="auto"/>
          <w:sz w:val="24"/>
          <w:highlight w:val="none"/>
        </w:rPr>
        <w:t>垃圾吊行车称重信号及位置信号等无线传输。要求信号连续稳定，专用信道经论证与厂内其他无线设备无干扰，传输距离不低于2Km，要求安装更换便捷，能实现快速更换。</w:t>
      </w:r>
    </w:p>
    <w:p w14:paraId="6C951566">
      <w:pPr>
        <w:spacing w:line="360" w:lineRule="auto"/>
        <w:ind w:firstLine="482"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4.控制箱移位</w:t>
      </w:r>
    </w:p>
    <w:p w14:paraId="2E62E3AA">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将现有垃圾吊行车上的PLC控制箱、通讯控制箱、配电箱、转接箱等共计18个电气控制箱均移至电气室内，约铺设KVV12*1.5mm2控制电缆1800m 。控制箱移位涉及的材料清单如下（本表为预估数量，具体以实际需求为准）：</w:t>
      </w:r>
    </w:p>
    <w:tbl>
      <w:tblPr>
        <w:tblStyle w:val="2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47"/>
        <w:gridCol w:w="1108"/>
        <w:gridCol w:w="797"/>
        <w:gridCol w:w="1759"/>
        <w:gridCol w:w="2887"/>
      </w:tblGrid>
      <w:tr w14:paraId="009B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8" w:type="dxa"/>
            <w:vAlign w:val="center"/>
          </w:tcPr>
          <w:p w14:paraId="22C4C31B">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序号</w:t>
            </w:r>
          </w:p>
        </w:tc>
        <w:tc>
          <w:tcPr>
            <w:tcW w:w="2147" w:type="dxa"/>
            <w:vAlign w:val="center"/>
          </w:tcPr>
          <w:p w14:paraId="717DAE2F">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名称</w:t>
            </w:r>
          </w:p>
        </w:tc>
        <w:tc>
          <w:tcPr>
            <w:tcW w:w="1108" w:type="dxa"/>
            <w:vAlign w:val="center"/>
          </w:tcPr>
          <w:p w14:paraId="7D9036EF">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单位</w:t>
            </w:r>
          </w:p>
        </w:tc>
        <w:tc>
          <w:tcPr>
            <w:tcW w:w="797" w:type="dxa"/>
            <w:vAlign w:val="center"/>
          </w:tcPr>
          <w:p w14:paraId="20986464">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数量</w:t>
            </w:r>
          </w:p>
        </w:tc>
        <w:tc>
          <w:tcPr>
            <w:tcW w:w="1759" w:type="dxa"/>
            <w:vAlign w:val="center"/>
          </w:tcPr>
          <w:p w14:paraId="115003A8">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原有品牌或型号</w:t>
            </w:r>
          </w:p>
        </w:tc>
        <w:tc>
          <w:tcPr>
            <w:tcW w:w="2887" w:type="dxa"/>
            <w:vAlign w:val="center"/>
          </w:tcPr>
          <w:p w14:paraId="45A907C4">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备注</w:t>
            </w:r>
          </w:p>
        </w:tc>
      </w:tr>
      <w:tr w14:paraId="1F04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73E79E3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1</w:t>
            </w:r>
          </w:p>
        </w:tc>
        <w:tc>
          <w:tcPr>
            <w:tcW w:w="2147" w:type="dxa"/>
            <w:vAlign w:val="center"/>
          </w:tcPr>
          <w:p w14:paraId="17AD9D25">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大车PLC控制柜</w:t>
            </w:r>
          </w:p>
        </w:tc>
        <w:tc>
          <w:tcPr>
            <w:tcW w:w="1108" w:type="dxa"/>
            <w:vAlign w:val="center"/>
          </w:tcPr>
          <w:p w14:paraId="7A724883">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台</w:t>
            </w:r>
          </w:p>
        </w:tc>
        <w:tc>
          <w:tcPr>
            <w:tcW w:w="797" w:type="dxa"/>
            <w:vAlign w:val="center"/>
          </w:tcPr>
          <w:p w14:paraId="0D54D303">
            <w:pPr>
              <w:widowControl/>
              <w:spacing w:line="160" w:lineRule="atLeast"/>
              <w:ind w:firstLine="210" w:firstLineChars="100"/>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759" w:type="dxa"/>
            <w:vAlign w:val="center"/>
          </w:tcPr>
          <w:p w14:paraId="0A2FD2AA">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2887" w:type="dxa"/>
            <w:vAlign w:val="center"/>
          </w:tcPr>
          <w:p w14:paraId="67B17C8D">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移位</w:t>
            </w:r>
          </w:p>
        </w:tc>
      </w:tr>
      <w:tr w14:paraId="1FF2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7C7DD538">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2</w:t>
            </w:r>
          </w:p>
        </w:tc>
        <w:tc>
          <w:tcPr>
            <w:tcW w:w="2147" w:type="dxa"/>
            <w:vAlign w:val="center"/>
          </w:tcPr>
          <w:p w14:paraId="0269AE2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小车PLC控制柜</w:t>
            </w:r>
          </w:p>
        </w:tc>
        <w:tc>
          <w:tcPr>
            <w:tcW w:w="1108" w:type="dxa"/>
            <w:vAlign w:val="center"/>
          </w:tcPr>
          <w:p w14:paraId="2B4B85F5">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台</w:t>
            </w:r>
          </w:p>
        </w:tc>
        <w:tc>
          <w:tcPr>
            <w:tcW w:w="797" w:type="dxa"/>
            <w:vAlign w:val="center"/>
          </w:tcPr>
          <w:p w14:paraId="0B5ED5C9">
            <w:pPr>
              <w:widowControl/>
              <w:spacing w:line="160" w:lineRule="atLeast"/>
              <w:ind w:firstLine="210" w:firstLineChars="100"/>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759" w:type="dxa"/>
            <w:vAlign w:val="center"/>
          </w:tcPr>
          <w:p w14:paraId="503C38F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2887" w:type="dxa"/>
            <w:vAlign w:val="center"/>
          </w:tcPr>
          <w:p w14:paraId="3162375E">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移位</w:t>
            </w:r>
          </w:p>
        </w:tc>
      </w:tr>
      <w:tr w14:paraId="707C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14:paraId="460553E2">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3</w:t>
            </w:r>
          </w:p>
        </w:tc>
        <w:tc>
          <w:tcPr>
            <w:tcW w:w="2147" w:type="dxa"/>
            <w:vAlign w:val="center"/>
          </w:tcPr>
          <w:p w14:paraId="556FDC51">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大车通讯控制柜</w:t>
            </w:r>
          </w:p>
        </w:tc>
        <w:tc>
          <w:tcPr>
            <w:tcW w:w="1108" w:type="dxa"/>
            <w:vAlign w:val="center"/>
          </w:tcPr>
          <w:p w14:paraId="3F63F9C0">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台</w:t>
            </w:r>
          </w:p>
        </w:tc>
        <w:tc>
          <w:tcPr>
            <w:tcW w:w="797" w:type="dxa"/>
            <w:vAlign w:val="center"/>
          </w:tcPr>
          <w:p w14:paraId="79710AEC">
            <w:pPr>
              <w:widowControl/>
              <w:spacing w:line="160" w:lineRule="atLeast"/>
              <w:ind w:firstLine="210" w:firstLineChars="100"/>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759" w:type="dxa"/>
            <w:vAlign w:val="center"/>
          </w:tcPr>
          <w:p w14:paraId="00BCE73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2887" w:type="dxa"/>
            <w:vAlign w:val="center"/>
          </w:tcPr>
          <w:p w14:paraId="69FED69C">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移位</w:t>
            </w:r>
          </w:p>
        </w:tc>
      </w:tr>
      <w:tr w14:paraId="141B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6288CDBA">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4</w:t>
            </w:r>
          </w:p>
        </w:tc>
        <w:tc>
          <w:tcPr>
            <w:tcW w:w="2147" w:type="dxa"/>
            <w:vAlign w:val="center"/>
          </w:tcPr>
          <w:p w14:paraId="35494E49">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小车通讯控制柜</w:t>
            </w:r>
          </w:p>
        </w:tc>
        <w:tc>
          <w:tcPr>
            <w:tcW w:w="1108" w:type="dxa"/>
            <w:vAlign w:val="center"/>
          </w:tcPr>
          <w:p w14:paraId="584D07B5">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台</w:t>
            </w:r>
          </w:p>
        </w:tc>
        <w:tc>
          <w:tcPr>
            <w:tcW w:w="797" w:type="dxa"/>
            <w:vAlign w:val="center"/>
          </w:tcPr>
          <w:p w14:paraId="1E2D85A5">
            <w:pPr>
              <w:widowControl/>
              <w:spacing w:line="160" w:lineRule="atLeast"/>
              <w:ind w:firstLine="210" w:firstLineChars="100"/>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759" w:type="dxa"/>
            <w:vAlign w:val="center"/>
          </w:tcPr>
          <w:p w14:paraId="536CCB14">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2887" w:type="dxa"/>
            <w:vAlign w:val="center"/>
          </w:tcPr>
          <w:p w14:paraId="0FB7AAB1">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移位</w:t>
            </w:r>
          </w:p>
        </w:tc>
      </w:tr>
      <w:tr w14:paraId="7939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0FA27DF6">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5</w:t>
            </w:r>
          </w:p>
        </w:tc>
        <w:tc>
          <w:tcPr>
            <w:tcW w:w="2147" w:type="dxa"/>
            <w:vAlign w:val="center"/>
          </w:tcPr>
          <w:p w14:paraId="67C6FE69">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大车变压器柜</w:t>
            </w:r>
          </w:p>
        </w:tc>
        <w:tc>
          <w:tcPr>
            <w:tcW w:w="1108" w:type="dxa"/>
            <w:vAlign w:val="center"/>
          </w:tcPr>
          <w:p w14:paraId="581AFD40">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台</w:t>
            </w:r>
          </w:p>
        </w:tc>
        <w:tc>
          <w:tcPr>
            <w:tcW w:w="797" w:type="dxa"/>
            <w:vAlign w:val="center"/>
          </w:tcPr>
          <w:p w14:paraId="1E726ACD">
            <w:pPr>
              <w:widowControl/>
              <w:spacing w:line="160" w:lineRule="atLeast"/>
              <w:ind w:firstLine="210" w:firstLineChars="100"/>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759" w:type="dxa"/>
            <w:vAlign w:val="center"/>
          </w:tcPr>
          <w:p w14:paraId="2677F931">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2887" w:type="dxa"/>
            <w:vAlign w:val="center"/>
          </w:tcPr>
          <w:p w14:paraId="639F818C">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移位</w:t>
            </w:r>
          </w:p>
        </w:tc>
      </w:tr>
      <w:tr w14:paraId="0A3D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3A6AB7C3">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2147" w:type="dxa"/>
            <w:vAlign w:val="center"/>
          </w:tcPr>
          <w:p w14:paraId="2B188896">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大车遥控配电柜</w:t>
            </w:r>
          </w:p>
        </w:tc>
        <w:tc>
          <w:tcPr>
            <w:tcW w:w="1108" w:type="dxa"/>
            <w:vAlign w:val="center"/>
          </w:tcPr>
          <w:p w14:paraId="673CA6AD">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台</w:t>
            </w:r>
          </w:p>
        </w:tc>
        <w:tc>
          <w:tcPr>
            <w:tcW w:w="797" w:type="dxa"/>
            <w:vAlign w:val="center"/>
          </w:tcPr>
          <w:p w14:paraId="1CD31FEE">
            <w:pPr>
              <w:widowControl/>
              <w:spacing w:line="160" w:lineRule="atLeast"/>
              <w:ind w:firstLine="210" w:firstLineChars="100"/>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759" w:type="dxa"/>
            <w:vAlign w:val="center"/>
          </w:tcPr>
          <w:p w14:paraId="6A7CA235">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2887" w:type="dxa"/>
            <w:vAlign w:val="center"/>
          </w:tcPr>
          <w:p w14:paraId="4A67C6A9">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移位</w:t>
            </w:r>
          </w:p>
        </w:tc>
      </w:tr>
      <w:tr w14:paraId="1C6F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663933B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7</w:t>
            </w:r>
          </w:p>
        </w:tc>
        <w:tc>
          <w:tcPr>
            <w:tcW w:w="2147" w:type="dxa"/>
            <w:vAlign w:val="center"/>
          </w:tcPr>
          <w:p w14:paraId="3B828FE9">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控制电缆</w:t>
            </w:r>
          </w:p>
        </w:tc>
        <w:tc>
          <w:tcPr>
            <w:tcW w:w="1108" w:type="dxa"/>
            <w:vAlign w:val="center"/>
          </w:tcPr>
          <w:p w14:paraId="1AD7A49B">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米</w:t>
            </w:r>
          </w:p>
        </w:tc>
        <w:tc>
          <w:tcPr>
            <w:tcW w:w="797" w:type="dxa"/>
            <w:vAlign w:val="center"/>
          </w:tcPr>
          <w:p w14:paraId="5DD2824F">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3600</w:t>
            </w:r>
          </w:p>
        </w:tc>
        <w:tc>
          <w:tcPr>
            <w:tcW w:w="1759" w:type="dxa"/>
            <w:vAlign w:val="center"/>
          </w:tcPr>
          <w:p w14:paraId="6FDDECC9">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rPr>
              <w:t>KVV12*1.5mm</w:t>
            </w:r>
            <w:r>
              <w:rPr>
                <w:rFonts w:hint="eastAsia" w:ascii="仿宋_GB2312" w:hAnsi="仿宋_GB2312" w:cs="仿宋_GB2312"/>
                <w:color w:val="auto"/>
                <w:sz w:val="21"/>
                <w:szCs w:val="21"/>
                <w:highlight w:val="none"/>
                <w:vertAlign w:val="superscript"/>
              </w:rPr>
              <w:t>2</w:t>
            </w:r>
          </w:p>
        </w:tc>
        <w:tc>
          <w:tcPr>
            <w:tcW w:w="2887" w:type="dxa"/>
            <w:vAlign w:val="center"/>
          </w:tcPr>
          <w:p w14:paraId="2FD1BDED">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rPr>
              <w:t>新增部分，含材料和敷设</w:t>
            </w:r>
          </w:p>
        </w:tc>
      </w:tr>
    </w:tbl>
    <w:p w14:paraId="0F6E0662">
      <w:pPr>
        <w:spacing w:line="360" w:lineRule="auto"/>
        <w:ind w:firstLine="482"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5.重新编制垃圾吊（包括垃圾吊行车）程序。</w:t>
      </w:r>
    </w:p>
    <w:p w14:paraId="0AF78C6F">
      <w:pPr>
        <w:spacing w:line="360" w:lineRule="auto"/>
        <w:ind w:firstLine="482" w:firstLineChars="200"/>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原有垃圾吊（包括垃圾吊行车）程序情况：</w:t>
      </w:r>
      <w:r>
        <w:rPr>
          <w:rFonts w:hint="eastAsia" w:ascii="仿宋_GB2312" w:hAnsi="仿宋_GB2312" w:cs="仿宋_GB2312"/>
          <w:color w:val="auto"/>
          <w:sz w:val="24"/>
          <w:highlight w:val="none"/>
        </w:rPr>
        <w:t>程序设计较为复杂，内部程序无注释，不利于故障查找；跳闸保护触发条件过多，需进一步优化；无“一键旁路”功能，故障状态下无法移动垃圾吊，影响锅炉上料。</w:t>
      </w:r>
    </w:p>
    <w:p w14:paraId="55D345F4">
      <w:pPr>
        <w:spacing w:line="360" w:lineRule="auto"/>
        <w:ind w:firstLine="482" w:firstLineChars="200"/>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lang w:val="en-US" w:eastAsia="zh-CN"/>
        </w:rPr>
        <w:t>每台垃圾吊</w:t>
      </w:r>
      <w:r>
        <w:rPr>
          <w:rFonts w:hint="eastAsia" w:ascii="仿宋_GB2312" w:hAnsi="仿宋_GB2312" w:cs="仿宋_GB2312"/>
          <w:b/>
          <w:bCs/>
          <w:color w:val="auto"/>
          <w:sz w:val="24"/>
          <w:highlight w:val="none"/>
        </w:rPr>
        <w:t>重新编制（包括垃圾吊行车）程序要求：</w:t>
      </w:r>
      <w:r>
        <w:rPr>
          <w:rFonts w:hint="eastAsia" w:ascii="仿宋_GB2312" w:hAnsi="仿宋_GB2312" w:cs="仿宋_GB2312"/>
          <w:color w:val="auto"/>
          <w:sz w:val="24"/>
          <w:highlight w:val="none"/>
        </w:rPr>
        <w:t>添加“一键旁路”功能，图纸更改部分重新进行绘制，程序对招标人完全开放，要求出现问题后能通过程序及时锁定故障点，快速排查并处理问题。程序全部采用中文注释及注解，图纸汉化处理，图纸汉化后简洁明了。具体要求如下：</w:t>
      </w:r>
    </w:p>
    <w:p w14:paraId="252F945C">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（1）PLC程序要求除特殊封装功能块允许采用SCL之外其他均须采用梯形图编写；要求程序逻辑简明运行可靠，逻辑性好；程序各变量均为中文注释，程序段均为中文说明。</w:t>
      </w:r>
    </w:p>
    <w:p w14:paraId="2D5B446C">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（2）防晃系统要求改造后起重机应PLC程序内编写闭环防摇摆程序，保证行车在高速停止时抓斗晃动幅度小于0.5度，且滑行距离小于2m。为保证安全严禁采用外挂模块等其他方式实现垃圾吊防摇功能。</w:t>
      </w:r>
    </w:p>
    <w:p w14:paraId="215CA327">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（3）防撞系统要求且设置分段防撞，确保运行安全；3台垃圾吊之间、垃圾吊与卸料平台、垃圾吊与控制室、垃圾吊四周墙壁均有5m减速和1m急停保护。</w:t>
      </w:r>
    </w:p>
    <w:p w14:paraId="79EBC051">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（4）“一键旁路”功能要求：对限位开关、通讯故障、子站故障设置旁路功能，旁路功能开启后需同时启用安全限速功能。</w:t>
      </w:r>
    </w:p>
    <w:p w14:paraId="643DE99F">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（5）安全保护要求：对大小车与坑壁及障碍物直接可设置分段减速，具有分段减速距离可调的功能，且此功能经授权后可解除。行车直接具有防撞功能，且设置分段防撞，确保运行安全</w:t>
      </w:r>
      <w:r>
        <w:rPr>
          <w:rStyle w:val="62"/>
          <w:rFonts w:hint="eastAsia" w:ascii="仿宋_GB2312" w:hAnsi="仿宋_GB2312" w:cs="仿宋_GB2312"/>
          <w:color w:val="auto"/>
          <w:sz w:val="21"/>
          <w:szCs w:val="21"/>
          <w:highlight w:val="none"/>
          <w:lang w:bidi="ar"/>
        </w:rPr>
        <w:t>。</w:t>
      </w:r>
    </w:p>
    <w:p w14:paraId="36385EE4">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（6）自动化功能要求：保留原自动化功能（一键上料功能及一键返回功能）且安全可靠稳定。</w:t>
      </w:r>
    </w:p>
    <w:p w14:paraId="2B9D1A69">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（7）图纸要求：图纸按照现图纸重新绘制，并严格按照国家相关标准执行，且保证图纸完整包括但不限于原理图、系统图、放线图、布置图等；</w:t>
      </w:r>
    </w:p>
    <w:p w14:paraId="450AEFDB">
      <w:pPr>
        <w:spacing w:line="360" w:lineRule="auto"/>
        <w:ind w:firstLine="482"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5.定位系统改造</w:t>
      </w:r>
    </w:p>
    <w:p w14:paraId="4FA089DC">
      <w:pPr>
        <w:spacing w:line="360" w:lineRule="auto"/>
        <w:ind w:firstLine="482" w:firstLineChars="200"/>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原定位系统情况：</w:t>
      </w:r>
      <w:r>
        <w:rPr>
          <w:rFonts w:hint="eastAsia" w:ascii="仿宋_GB2312" w:hAnsi="仿宋_GB2312" w:cs="仿宋_GB2312"/>
          <w:color w:val="auto"/>
          <w:sz w:val="24"/>
          <w:highlight w:val="none"/>
        </w:rPr>
        <w:t>采用绝对值编码器与限位开关配合定位，绝对值编码器机械磨损严重寿命低，限位开关故障率高，原定位系统涉及硬件如下：</w:t>
      </w:r>
    </w:p>
    <w:tbl>
      <w:tblPr>
        <w:tblStyle w:val="27"/>
        <w:tblpPr w:leftFromText="180" w:rightFromText="180" w:vertAnchor="text" w:horzAnchor="page" w:tblpX="1286" w:tblpY="352"/>
        <w:tblOverlap w:val="never"/>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54"/>
        <w:gridCol w:w="887"/>
        <w:gridCol w:w="986"/>
        <w:gridCol w:w="1452"/>
        <w:gridCol w:w="3701"/>
      </w:tblGrid>
      <w:tr w14:paraId="4E7A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78" w:type="dxa"/>
            <w:vAlign w:val="center"/>
          </w:tcPr>
          <w:p w14:paraId="5CD5ACF0">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序号</w:t>
            </w:r>
          </w:p>
        </w:tc>
        <w:tc>
          <w:tcPr>
            <w:tcW w:w="1854" w:type="dxa"/>
            <w:vAlign w:val="center"/>
          </w:tcPr>
          <w:p w14:paraId="0C58623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名称</w:t>
            </w:r>
          </w:p>
        </w:tc>
        <w:tc>
          <w:tcPr>
            <w:tcW w:w="887" w:type="dxa"/>
            <w:vAlign w:val="center"/>
          </w:tcPr>
          <w:p w14:paraId="35BD529E">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单位</w:t>
            </w:r>
          </w:p>
        </w:tc>
        <w:tc>
          <w:tcPr>
            <w:tcW w:w="986" w:type="dxa"/>
            <w:vAlign w:val="center"/>
          </w:tcPr>
          <w:p w14:paraId="3B17416E">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数量</w:t>
            </w:r>
          </w:p>
        </w:tc>
        <w:tc>
          <w:tcPr>
            <w:tcW w:w="1452" w:type="dxa"/>
            <w:vAlign w:val="center"/>
          </w:tcPr>
          <w:p w14:paraId="0635DE20">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原有品牌</w:t>
            </w:r>
          </w:p>
        </w:tc>
        <w:tc>
          <w:tcPr>
            <w:tcW w:w="3701" w:type="dxa"/>
            <w:vAlign w:val="center"/>
          </w:tcPr>
          <w:p w14:paraId="5B9717D6">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备注</w:t>
            </w:r>
          </w:p>
        </w:tc>
      </w:tr>
      <w:tr w14:paraId="4336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78" w:type="dxa"/>
            <w:vAlign w:val="center"/>
          </w:tcPr>
          <w:p w14:paraId="479BA9A4">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1</w:t>
            </w:r>
          </w:p>
        </w:tc>
        <w:tc>
          <w:tcPr>
            <w:tcW w:w="1854" w:type="dxa"/>
            <w:vAlign w:val="center"/>
          </w:tcPr>
          <w:p w14:paraId="39C7D138">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绝对值编码器</w:t>
            </w:r>
          </w:p>
        </w:tc>
        <w:tc>
          <w:tcPr>
            <w:tcW w:w="887" w:type="dxa"/>
            <w:vAlign w:val="center"/>
          </w:tcPr>
          <w:p w14:paraId="41B2269D">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套</w:t>
            </w:r>
          </w:p>
        </w:tc>
        <w:tc>
          <w:tcPr>
            <w:tcW w:w="986" w:type="dxa"/>
            <w:vAlign w:val="center"/>
          </w:tcPr>
          <w:p w14:paraId="6A8023A2">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452" w:type="dxa"/>
            <w:vAlign w:val="center"/>
          </w:tcPr>
          <w:p w14:paraId="50E3EC72">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蒂尔</w:t>
            </w:r>
          </w:p>
        </w:tc>
        <w:tc>
          <w:tcPr>
            <w:tcW w:w="3701" w:type="dxa"/>
            <w:vAlign w:val="center"/>
          </w:tcPr>
          <w:p w14:paraId="52F2AF26">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CEV65M-01460</w:t>
            </w:r>
          </w:p>
        </w:tc>
      </w:tr>
      <w:tr w14:paraId="112E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78" w:type="dxa"/>
            <w:vAlign w:val="center"/>
          </w:tcPr>
          <w:p w14:paraId="0F98823A">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2</w:t>
            </w:r>
          </w:p>
        </w:tc>
        <w:tc>
          <w:tcPr>
            <w:tcW w:w="1854" w:type="dxa"/>
            <w:vAlign w:val="center"/>
          </w:tcPr>
          <w:p w14:paraId="68C8A669">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速度编码器</w:t>
            </w:r>
          </w:p>
        </w:tc>
        <w:tc>
          <w:tcPr>
            <w:tcW w:w="887" w:type="dxa"/>
            <w:vAlign w:val="center"/>
          </w:tcPr>
          <w:p w14:paraId="74A504F3">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套</w:t>
            </w:r>
          </w:p>
        </w:tc>
        <w:tc>
          <w:tcPr>
            <w:tcW w:w="986" w:type="dxa"/>
            <w:vAlign w:val="center"/>
          </w:tcPr>
          <w:p w14:paraId="79BBD350">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452" w:type="dxa"/>
            <w:vAlign w:val="center"/>
          </w:tcPr>
          <w:p w14:paraId="35A699C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法兰泰克</w:t>
            </w:r>
          </w:p>
        </w:tc>
        <w:tc>
          <w:tcPr>
            <w:tcW w:w="3701" w:type="dxa"/>
            <w:vAlign w:val="center"/>
          </w:tcPr>
          <w:p w14:paraId="5366288E">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NM701NR3</w:t>
            </w:r>
          </w:p>
        </w:tc>
      </w:tr>
      <w:tr w14:paraId="6410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78" w:type="dxa"/>
            <w:vAlign w:val="center"/>
          </w:tcPr>
          <w:p w14:paraId="475A1E6E">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3</w:t>
            </w:r>
          </w:p>
        </w:tc>
        <w:tc>
          <w:tcPr>
            <w:tcW w:w="1854" w:type="dxa"/>
            <w:vAlign w:val="center"/>
          </w:tcPr>
          <w:p w14:paraId="674E4EC1">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起升限位器</w:t>
            </w:r>
          </w:p>
        </w:tc>
        <w:tc>
          <w:tcPr>
            <w:tcW w:w="887" w:type="dxa"/>
            <w:vAlign w:val="center"/>
          </w:tcPr>
          <w:p w14:paraId="4230386D">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台</w:t>
            </w:r>
          </w:p>
        </w:tc>
        <w:tc>
          <w:tcPr>
            <w:tcW w:w="986" w:type="dxa"/>
            <w:vAlign w:val="center"/>
          </w:tcPr>
          <w:p w14:paraId="4EF1802B">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452" w:type="dxa"/>
            <w:vAlign w:val="center"/>
          </w:tcPr>
          <w:p w14:paraId="21CED1E8">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STROMAG</w:t>
            </w:r>
          </w:p>
        </w:tc>
        <w:tc>
          <w:tcPr>
            <w:tcW w:w="3701" w:type="dxa"/>
            <w:vAlign w:val="center"/>
          </w:tcPr>
          <w:p w14:paraId="1657746B">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GTES51-29BM-499-B3_151-</w:t>
            </w:r>
          </w:p>
          <w:p w14:paraId="3419FD1F">
            <w:pPr>
              <w:widowControl/>
              <w:jc w:val="center"/>
              <w:rPr>
                <w:rFonts w:hint="eastAsia" w:ascii="仿宋_GB2312" w:hAnsi="仿宋_GB2312" w:cs="仿宋_GB2312"/>
                <w:color w:val="auto"/>
                <w:sz w:val="21"/>
                <w:szCs w:val="21"/>
                <w:highlight w:val="none"/>
                <w:shd w:val="clear" w:color="auto" w:fill="FFFFFF"/>
              </w:rPr>
            </w:pPr>
            <w:r>
              <w:rPr>
                <w:rFonts w:ascii="仿宋_GB2312" w:hAnsi="仿宋_GB2312" w:cs="仿宋_GB2312"/>
                <w:color w:val="auto"/>
                <w:sz w:val="21"/>
                <w:szCs w:val="21"/>
                <w:highlight w:val="none"/>
                <w:shd w:val="clear" w:color="auto" w:fill="FFFFFF"/>
              </w:rPr>
              <w:t>08501</w:t>
            </w:r>
          </w:p>
        </w:tc>
      </w:tr>
      <w:tr w14:paraId="58E5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78" w:type="dxa"/>
            <w:vAlign w:val="center"/>
          </w:tcPr>
          <w:p w14:paraId="61CD3DC4">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4</w:t>
            </w:r>
          </w:p>
        </w:tc>
        <w:tc>
          <w:tcPr>
            <w:tcW w:w="1854" w:type="dxa"/>
            <w:vAlign w:val="center"/>
          </w:tcPr>
          <w:p w14:paraId="19C77334">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限位开关</w:t>
            </w:r>
          </w:p>
        </w:tc>
        <w:tc>
          <w:tcPr>
            <w:tcW w:w="887" w:type="dxa"/>
            <w:vAlign w:val="center"/>
          </w:tcPr>
          <w:p w14:paraId="139B540E">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个</w:t>
            </w:r>
          </w:p>
        </w:tc>
        <w:tc>
          <w:tcPr>
            <w:tcW w:w="986" w:type="dxa"/>
            <w:vAlign w:val="center"/>
          </w:tcPr>
          <w:p w14:paraId="48F45F79">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42</w:t>
            </w:r>
          </w:p>
        </w:tc>
        <w:tc>
          <w:tcPr>
            <w:tcW w:w="1452" w:type="dxa"/>
            <w:vAlign w:val="center"/>
          </w:tcPr>
          <w:p w14:paraId="61FF7C3F">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PEPPERL</w:t>
            </w:r>
          </w:p>
        </w:tc>
        <w:tc>
          <w:tcPr>
            <w:tcW w:w="3701" w:type="dxa"/>
            <w:vAlign w:val="center"/>
          </w:tcPr>
          <w:p w14:paraId="214E6E2E">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NBB20-U1-UU</w:t>
            </w:r>
          </w:p>
        </w:tc>
      </w:tr>
      <w:tr w14:paraId="79A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78" w:type="dxa"/>
            <w:vAlign w:val="center"/>
          </w:tcPr>
          <w:p w14:paraId="7D3B6EB0">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5</w:t>
            </w:r>
          </w:p>
        </w:tc>
        <w:tc>
          <w:tcPr>
            <w:tcW w:w="1854" w:type="dxa"/>
            <w:vAlign w:val="center"/>
          </w:tcPr>
          <w:p w14:paraId="6C124CB2">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红外测距仪</w:t>
            </w:r>
          </w:p>
        </w:tc>
        <w:tc>
          <w:tcPr>
            <w:tcW w:w="887" w:type="dxa"/>
            <w:vAlign w:val="center"/>
          </w:tcPr>
          <w:p w14:paraId="1515451F">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台</w:t>
            </w:r>
          </w:p>
        </w:tc>
        <w:tc>
          <w:tcPr>
            <w:tcW w:w="986" w:type="dxa"/>
            <w:vAlign w:val="center"/>
          </w:tcPr>
          <w:p w14:paraId="6C0984DC">
            <w:pPr>
              <w:widowControl/>
              <w:spacing w:line="160" w:lineRule="atLeast"/>
              <w:ind w:firstLine="210" w:firstLineChars="100"/>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452" w:type="dxa"/>
            <w:vAlign w:val="center"/>
          </w:tcPr>
          <w:p w14:paraId="443ADA84">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SICK</w:t>
            </w:r>
          </w:p>
        </w:tc>
        <w:tc>
          <w:tcPr>
            <w:tcW w:w="3701" w:type="dxa"/>
            <w:vAlign w:val="center"/>
          </w:tcPr>
          <w:p w14:paraId="20DDD7B1">
            <w:pPr>
              <w:widowControl/>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DR35</w:t>
            </w:r>
          </w:p>
        </w:tc>
      </w:tr>
    </w:tbl>
    <w:p w14:paraId="4B1F3893">
      <w:pPr>
        <w:pStyle w:val="17"/>
        <w:rPr>
          <w:color w:val="auto"/>
          <w:highlight w:val="none"/>
        </w:rPr>
      </w:pPr>
    </w:p>
    <w:p w14:paraId="07CA4130">
      <w:pPr>
        <w:spacing w:line="360" w:lineRule="auto"/>
        <w:ind w:firstLine="482" w:firstLineChars="200"/>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改造后定位系统要求：</w:t>
      </w:r>
      <w:r>
        <w:rPr>
          <w:rFonts w:hint="eastAsia" w:ascii="仿宋_GB2312" w:hAnsi="仿宋_GB2312" w:cs="仿宋_GB2312"/>
          <w:color w:val="auto"/>
          <w:sz w:val="24"/>
          <w:highlight w:val="none"/>
        </w:rPr>
        <w:t>改造后6台垃圾吊大小车定位均采用二维码定位和激光定位组合判定；二维码定位组成及原理：PXV 定位系统由视觉成像原理的读头和 Data Matrix 码带组成。读头沿X方向平行于码带移动，每10ms或25ms提供一次高精度的位置数据，如X绝对位置、码带Y方向偏移量、码带的穿梭速度和质量值，数据通过控制器 </w:t>
      </w:r>
      <w:r>
        <w:rPr>
          <w:color w:val="auto"/>
          <w:highlight w:val="none"/>
        </w:rPr>
        <w:fldChar w:fldCharType="begin"/>
      </w:r>
      <w:r>
        <w:rPr>
          <w:color w:val="auto"/>
          <w:highlight w:val="none"/>
        </w:rPr>
        <w:instrText xml:space="preserve"> HYPERLINK "http://www.gongkong.com/plc/" \t "https://www.gongkong.com/product/202111/_blank" </w:instrText>
      </w:r>
      <w:r>
        <w:rPr>
          <w:color w:val="auto"/>
          <w:highlight w:val="none"/>
        </w:rPr>
        <w:fldChar w:fldCharType="separate"/>
      </w:r>
      <w:r>
        <w:rPr>
          <w:rFonts w:hint="eastAsia" w:ascii="仿宋_GB2312" w:hAnsi="仿宋_GB2312" w:cs="仿宋_GB2312"/>
          <w:color w:val="auto"/>
          <w:sz w:val="24"/>
          <w:highlight w:val="none"/>
        </w:rPr>
        <w:t>PLC</w:t>
      </w:r>
      <w:r>
        <w:rPr>
          <w:rFonts w:hint="eastAsia" w:ascii="仿宋_GB2312" w:hAnsi="仿宋_GB2312" w:cs="仿宋_GB2312"/>
          <w:color w:val="auto"/>
          <w:sz w:val="24"/>
          <w:highlight w:val="none"/>
        </w:rPr>
        <w:fldChar w:fldCharType="end"/>
      </w:r>
      <w:r>
        <w:rPr>
          <w:rFonts w:hint="eastAsia" w:ascii="仿宋_GB2312" w:hAnsi="仿宋_GB2312" w:cs="仿宋_GB2312"/>
          <w:color w:val="auto"/>
          <w:sz w:val="24"/>
          <w:highlight w:val="none"/>
        </w:rPr>
        <w:t> 进行读取。</w:t>
      </w:r>
    </w:p>
    <w:p w14:paraId="7533837C">
      <w:pPr>
        <w:spacing w:line="360" w:lineRule="auto"/>
        <w:ind w:firstLine="482"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6.变频器标准化更新</w:t>
      </w:r>
    </w:p>
    <w:p w14:paraId="54481CF7">
      <w:pPr>
        <w:spacing w:line="360" w:lineRule="auto"/>
        <w:ind w:firstLine="482" w:firstLineChars="200"/>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原变频器情况：</w:t>
      </w:r>
      <w:r>
        <w:rPr>
          <w:rFonts w:hint="eastAsia" w:ascii="仿宋_GB2312" w:hAnsi="仿宋_GB2312" w:cs="仿宋_GB2312"/>
          <w:color w:val="auto"/>
          <w:sz w:val="24"/>
          <w:highlight w:val="none"/>
        </w:rPr>
        <w:t>原有6台垃圾吊大车、小车、起升变频器匹配PLC S7-300。原系统涉及硬件如下：</w:t>
      </w:r>
    </w:p>
    <w:tbl>
      <w:tblPr>
        <w:tblStyle w:val="2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54"/>
        <w:gridCol w:w="1216"/>
        <w:gridCol w:w="982"/>
        <w:gridCol w:w="1314"/>
        <w:gridCol w:w="3332"/>
      </w:tblGrid>
      <w:tr w14:paraId="215C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6D8BFF60">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序号</w:t>
            </w:r>
          </w:p>
        </w:tc>
        <w:tc>
          <w:tcPr>
            <w:tcW w:w="1854" w:type="dxa"/>
            <w:vAlign w:val="center"/>
          </w:tcPr>
          <w:p w14:paraId="2ED1094D">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名称</w:t>
            </w:r>
          </w:p>
        </w:tc>
        <w:tc>
          <w:tcPr>
            <w:tcW w:w="1216" w:type="dxa"/>
            <w:vAlign w:val="center"/>
          </w:tcPr>
          <w:p w14:paraId="245E998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单位</w:t>
            </w:r>
          </w:p>
        </w:tc>
        <w:tc>
          <w:tcPr>
            <w:tcW w:w="982" w:type="dxa"/>
            <w:vAlign w:val="center"/>
          </w:tcPr>
          <w:p w14:paraId="5C349F9E">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数量</w:t>
            </w:r>
          </w:p>
        </w:tc>
        <w:tc>
          <w:tcPr>
            <w:tcW w:w="1314" w:type="dxa"/>
            <w:vAlign w:val="center"/>
          </w:tcPr>
          <w:p w14:paraId="69DC467D">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原有品牌</w:t>
            </w:r>
          </w:p>
        </w:tc>
        <w:tc>
          <w:tcPr>
            <w:tcW w:w="3332" w:type="dxa"/>
            <w:vAlign w:val="center"/>
          </w:tcPr>
          <w:p w14:paraId="42891E4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备注</w:t>
            </w:r>
          </w:p>
        </w:tc>
      </w:tr>
      <w:tr w14:paraId="5BA4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68D9ACA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1</w:t>
            </w:r>
          </w:p>
        </w:tc>
        <w:tc>
          <w:tcPr>
            <w:tcW w:w="1854" w:type="dxa"/>
            <w:vAlign w:val="center"/>
          </w:tcPr>
          <w:p w14:paraId="01C1650E">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变频器</w:t>
            </w:r>
          </w:p>
        </w:tc>
        <w:tc>
          <w:tcPr>
            <w:tcW w:w="1216" w:type="dxa"/>
            <w:vAlign w:val="center"/>
          </w:tcPr>
          <w:p w14:paraId="734E6A2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套</w:t>
            </w:r>
          </w:p>
        </w:tc>
        <w:tc>
          <w:tcPr>
            <w:tcW w:w="982" w:type="dxa"/>
            <w:vAlign w:val="center"/>
          </w:tcPr>
          <w:p w14:paraId="224B507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6</w:t>
            </w:r>
          </w:p>
        </w:tc>
        <w:tc>
          <w:tcPr>
            <w:tcW w:w="1314" w:type="dxa"/>
            <w:vAlign w:val="center"/>
          </w:tcPr>
          <w:p w14:paraId="3E5B6842">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3332" w:type="dxa"/>
            <w:vAlign w:val="center"/>
          </w:tcPr>
          <w:p w14:paraId="53BB8331">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D2H200FV5CE003S</w:t>
            </w:r>
          </w:p>
        </w:tc>
      </w:tr>
      <w:tr w14:paraId="4FD7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5E2A70C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2</w:t>
            </w:r>
          </w:p>
        </w:tc>
        <w:tc>
          <w:tcPr>
            <w:tcW w:w="1854" w:type="dxa"/>
            <w:vAlign w:val="center"/>
          </w:tcPr>
          <w:p w14:paraId="1D362996">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变频器A卡</w:t>
            </w:r>
          </w:p>
        </w:tc>
        <w:tc>
          <w:tcPr>
            <w:tcW w:w="1216" w:type="dxa"/>
            <w:vAlign w:val="center"/>
          </w:tcPr>
          <w:p w14:paraId="41E63369">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张</w:t>
            </w:r>
          </w:p>
        </w:tc>
        <w:tc>
          <w:tcPr>
            <w:tcW w:w="982" w:type="dxa"/>
            <w:vAlign w:val="center"/>
          </w:tcPr>
          <w:p w14:paraId="374F2DC5">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18</w:t>
            </w:r>
          </w:p>
        </w:tc>
        <w:tc>
          <w:tcPr>
            <w:tcW w:w="1314" w:type="dxa"/>
            <w:vAlign w:val="center"/>
          </w:tcPr>
          <w:p w14:paraId="739BA43F">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3332" w:type="dxa"/>
            <w:vAlign w:val="center"/>
          </w:tcPr>
          <w:p w14:paraId="34F9023E">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52335566 D2V-I/O_BOARD</w:t>
            </w:r>
          </w:p>
        </w:tc>
      </w:tr>
      <w:tr w14:paraId="047D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78" w:type="dxa"/>
            <w:vAlign w:val="center"/>
          </w:tcPr>
          <w:p w14:paraId="26D3AEF6">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3</w:t>
            </w:r>
          </w:p>
        </w:tc>
        <w:tc>
          <w:tcPr>
            <w:tcW w:w="1854" w:type="dxa"/>
            <w:vAlign w:val="center"/>
          </w:tcPr>
          <w:p w14:paraId="21EBCF3D">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变频器B卡</w:t>
            </w:r>
          </w:p>
        </w:tc>
        <w:tc>
          <w:tcPr>
            <w:tcW w:w="1216" w:type="dxa"/>
            <w:vAlign w:val="center"/>
          </w:tcPr>
          <w:p w14:paraId="6E7A0FA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张</w:t>
            </w:r>
          </w:p>
        </w:tc>
        <w:tc>
          <w:tcPr>
            <w:tcW w:w="982" w:type="dxa"/>
            <w:vAlign w:val="center"/>
          </w:tcPr>
          <w:p w14:paraId="5BB77838">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18</w:t>
            </w:r>
          </w:p>
        </w:tc>
        <w:tc>
          <w:tcPr>
            <w:tcW w:w="1314" w:type="dxa"/>
            <w:vAlign w:val="center"/>
          </w:tcPr>
          <w:p w14:paraId="288BF49B">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3332" w:type="dxa"/>
            <w:vAlign w:val="center"/>
          </w:tcPr>
          <w:p w14:paraId="1C33A63E">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52571483 SP-D2V-NXOPTAFL</w:t>
            </w:r>
          </w:p>
        </w:tc>
      </w:tr>
      <w:tr w14:paraId="1CB3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580154D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4</w:t>
            </w:r>
          </w:p>
        </w:tc>
        <w:tc>
          <w:tcPr>
            <w:tcW w:w="1854" w:type="dxa"/>
            <w:vAlign w:val="center"/>
          </w:tcPr>
          <w:p w14:paraId="4620A3E2">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变频器C卡</w:t>
            </w:r>
          </w:p>
        </w:tc>
        <w:tc>
          <w:tcPr>
            <w:tcW w:w="1216" w:type="dxa"/>
            <w:vAlign w:val="center"/>
          </w:tcPr>
          <w:p w14:paraId="6D3BDE87">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张</w:t>
            </w:r>
          </w:p>
        </w:tc>
        <w:tc>
          <w:tcPr>
            <w:tcW w:w="982" w:type="dxa"/>
            <w:vAlign w:val="center"/>
          </w:tcPr>
          <w:p w14:paraId="2CD4E18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18</w:t>
            </w:r>
          </w:p>
        </w:tc>
        <w:tc>
          <w:tcPr>
            <w:tcW w:w="1314" w:type="dxa"/>
            <w:vAlign w:val="center"/>
          </w:tcPr>
          <w:p w14:paraId="7DDD7F1D">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3332" w:type="dxa"/>
            <w:vAlign w:val="center"/>
          </w:tcPr>
          <w:p w14:paraId="356271C6">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52335567 D2V-SSUL</w:t>
            </w:r>
          </w:p>
        </w:tc>
      </w:tr>
      <w:tr w14:paraId="5D39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78" w:type="dxa"/>
            <w:vAlign w:val="center"/>
          </w:tcPr>
          <w:p w14:paraId="2DF5F98E">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5</w:t>
            </w:r>
          </w:p>
        </w:tc>
        <w:tc>
          <w:tcPr>
            <w:tcW w:w="1854" w:type="dxa"/>
            <w:vAlign w:val="center"/>
          </w:tcPr>
          <w:p w14:paraId="5073771B">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变频器D卡</w:t>
            </w:r>
          </w:p>
        </w:tc>
        <w:tc>
          <w:tcPr>
            <w:tcW w:w="1216" w:type="dxa"/>
            <w:vAlign w:val="center"/>
          </w:tcPr>
          <w:p w14:paraId="78AD1B53">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张</w:t>
            </w:r>
          </w:p>
        </w:tc>
        <w:tc>
          <w:tcPr>
            <w:tcW w:w="982" w:type="dxa"/>
            <w:vAlign w:val="center"/>
          </w:tcPr>
          <w:p w14:paraId="23FE3B29">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18</w:t>
            </w:r>
          </w:p>
        </w:tc>
        <w:tc>
          <w:tcPr>
            <w:tcW w:w="1314" w:type="dxa"/>
            <w:vAlign w:val="center"/>
          </w:tcPr>
          <w:p w14:paraId="6B305F0C">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科尼</w:t>
            </w:r>
          </w:p>
        </w:tc>
        <w:tc>
          <w:tcPr>
            <w:tcW w:w="3332" w:type="dxa"/>
            <w:vAlign w:val="center"/>
          </w:tcPr>
          <w:p w14:paraId="39BB3051">
            <w:pPr>
              <w:widowControl/>
              <w:spacing w:line="160" w:lineRule="atLeast"/>
              <w:jc w:val="center"/>
              <w:rPr>
                <w:rFonts w:hint="eastAsia" w:ascii="仿宋_GB2312" w:hAnsi="仿宋_GB2312" w:cs="仿宋_GB2312"/>
                <w:color w:val="auto"/>
                <w:sz w:val="21"/>
                <w:szCs w:val="21"/>
                <w:highlight w:val="none"/>
                <w:shd w:val="clear" w:color="auto" w:fill="FFFFFF"/>
              </w:rPr>
            </w:pPr>
            <w:r>
              <w:rPr>
                <w:rFonts w:hint="eastAsia" w:ascii="仿宋_GB2312" w:hAnsi="仿宋_GB2312" w:cs="仿宋_GB2312"/>
                <w:color w:val="auto"/>
                <w:sz w:val="21"/>
                <w:szCs w:val="21"/>
                <w:highlight w:val="none"/>
                <w:shd w:val="clear" w:color="auto" w:fill="FFFFFF"/>
              </w:rPr>
              <w:t>52335564 D2V-NXOPTB9L</w:t>
            </w:r>
          </w:p>
        </w:tc>
      </w:tr>
    </w:tbl>
    <w:p w14:paraId="7F669845">
      <w:pPr>
        <w:spacing w:line="360" w:lineRule="auto"/>
        <w:ind w:firstLine="482" w:firstLineChars="200"/>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更新后要求：</w:t>
      </w:r>
      <w:r>
        <w:rPr>
          <w:rFonts w:hint="eastAsia" w:ascii="仿宋_GB2312" w:hAnsi="仿宋_GB2312" w:cs="仿宋_GB2312"/>
          <w:color w:val="auto"/>
          <w:sz w:val="24"/>
          <w:highlight w:val="none"/>
        </w:rPr>
        <w:t>更换现有6台垃圾吊大车、小车、起升变频器控制面板，使变频器与升级后的PLC系统（如S7-1500F）完美兼容；改造时须最大限度利用原有变频器的整流、逆变、回馈等部分功率器件，要求更新后变频器运行稳定、质量可靠。</w:t>
      </w:r>
    </w:p>
    <w:p w14:paraId="1DEC78A5">
      <w:pPr>
        <w:spacing w:line="360" w:lineRule="auto"/>
        <w:ind w:firstLine="482" w:firstLineChars="200"/>
        <w:rPr>
          <w:rFonts w:hint="eastAsia" w:ascii="仿宋_GB2312" w:hAnsi="仿宋_GB2312" w:cs="仿宋_GB2312"/>
          <w:b/>
          <w:bCs/>
          <w:color w:val="auto"/>
          <w:sz w:val="24"/>
          <w:highlight w:val="none"/>
        </w:rPr>
      </w:pPr>
      <w:r>
        <w:rPr>
          <w:rFonts w:ascii="仿宋_GB2312" w:hAnsi="仿宋_GB2312" w:cs="仿宋_GB2312"/>
          <w:b/>
          <w:bCs/>
          <w:color w:val="auto"/>
          <w:sz w:val="24"/>
          <w:highlight w:val="none"/>
        </w:rPr>
        <w:t>7.</w:t>
      </w:r>
      <w:r>
        <w:rPr>
          <w:rFonts w:hint="eastAsia" w:ascii="仿宋_GB2312" w:hAnsi="仿宋_GB2312" w:cs="仿宋_GB2312"/>
          <w:b/>
          <w:bCs/>
          <w:color w:val="auto"/>
          <w:sz w:val="24"/>
          <w:highlight w:val="none"/>
        </w:rPr>
        <w:t>其他内容</w:t>
      </w:r>
    </w:p>
    <w:p w14:paraId="13DD02DF">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本次改造材料内容由投标人根据改造方案配置，表中所列原有设备型号仅用于投标人改造方案参考，投标人实际使用本改造项目的设备参数、性能不得低于参考设备型号对应参数和性能，不得作为后期费用追加的依据，招标人不额外增加任何费用。</w:t>
      </w:r>
    </w:p>
    <w:p w14:paraId="20C3EFF1">
      <w:pPr>
        <w:spacing w:line="360" w:lineRule="auto"/>
        <w:ind w:firstLine="482" w:firstLineChars="200"/>
        <w:rPr>
          <w:rFonts w:hint="eastAsia" w:ascii="仿宋_GB2312" w:hAnsi="仿宋_GB2312" w:cs="仿宋_GB2312"/>
          <w:color w:val="auto"/>
          <w:spacing w:val="8"/>
          <w:sz w:val="24"/>
          <w:highlight w:val="none"/>
        </w:rPr>
      </w:pPr>
      <w:r>
        <w:rPr>
          <w:rFonts w:hint="eastAsia" w:ascii="仿宋_GB2312" w:hAnsi="仿宋_GB2312" w:cs="仿宋_GB2312"/>
          <w:b/>
          <w:bCs/>
          <w:color w:val="auto"/>
          <w:sz w:val="24"/>
          <w:highlight w:val="none"/>
        </w:rPr>
        <w:t>四、</w:t>
      </w:r>
      <w:bookmarkStart w:id="102" w:name="_Toc78809861"/>
      <w:r>
        <w:rPr>
          <w:rFonts w:hint="eastAsia" w:ascii="仿宋_GB2312" w:hAnsi="仿宋_GB2312" w:cs="仿宋_GB2312"/>
          <w:b/>
          <w:bCs/>
          <w:color w:val="auto"/>
          <w:sz w:val="24"/>
          <w:highlight w:val="none"/>
        </w:rPr>
        <w:t>技术要求</w:t>
      </w:r>
      <w:bookmarkEnd w:id="102"/>
    </w:p>
    <w:p w14:paraId="17D8BC9B">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投标人应遵守现行的国家有关法律法规、技术标准，电力行业有关规范、规定、标准，设备制造厂家图纸及技术要求，杭州临江环境能源有限公司的现行规程、规定及管理制度等。参考标准如下（但不限于下列标准，如所列标准不是现行最新版，请参照最新版） </w:t>
      </w:r>
    </w:p>
    <w:p w14:paraId="70C847CB">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《起重机设计规范》 GB/T3811-2008设备维修合同 </w:t>
      </w:r>
    </w:p>
    <w:p w14:paraId="4E772D82">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《通用桥式起重机》 GB/T14405-1993 </w:t>
      </w:r>
    </w:p>
    <w:p w14:paraId="4D19AA52">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《起重机安全规程》 GB6067-85 </w:t>
      </w:r>
    </w:p>
    <w:p w14:paraId="6CA7DA50">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《起重机试验规范和程序》 GB5905-86 </w:t>
      </w:r>
    </w:p>
    <w:p w14:paraId="7E6F16AF">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《通用桥式和门式起重机司机室、技术条件》 GB/T14407-93 </w:t>
      </w:r>
    </w:p>
    <w:p w14:paraId="06C63FDF">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《桥式和门式起重机 制造及轨道安装公差》 GB/T10183-88 </w:t>
      </w:r>
    </w:p>
    <w:p w14:paraId="7E8D1112">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《通用桥式起重机限界尺寸》 GB/T7592-87 </w:t>
      </w:r>
    </w:p>
    <w:p w14:paraId="04D4CF30">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《钢丝绳》 GB/T8918-96 </w:t>
      </w:r>
    </w:p>
    <w:p w14:paraId="731D0A6C">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《起重吊钩》 GB/T10051-88 </w:t>
      </w:r>
    </w:p>
    <w:p w14:paraId="3C25D4F5">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《起重机车轮》 JB/T6392-92 </w:t>
      </w:r>
    </w:p>
    <w:p w14:paraId="1267A16F">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《起重机缓冲器》 JB/T8110-99 </w:t>
      </w:r>
    </w:p>
    <w:p w14:paraId="2CA8DE6A">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《起重机用底座式减速器》 JB/T8905-99 </w:t>
      </w:r>
    </w:p>
    <w:p w14:paraId="65696019">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《起重机用铸造滑轮》 JB/T9005-99 </w:t>
      </w:r>
    </w:p>
    <w:p w14:paraId="169885E3">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《起重机用铸造卷筒》 JB/T9006-99 </w:t>
      </w:r>
    </w:p>
    <w:p w14:paraId="74551108">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《电力液压块式制动器》 JB/T6406-92 </w:t>
      </w:r>
    </w:p>
    <w:p w14:paraId="7E7B4941">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《电磁块式制动器》 JB/T7685-95 </w:t>
      </w:r>
    </w:p>
    <w:p w14:paraId="5AB62B70">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《起重机电控设备》 JB/T4315-97 </w:t>
      </w:r>
    </w:p>
    <w:p w14:paraId="19AD4606">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《起重机控制台》 JB/T6478-93 </w:t>
      </w:r>
    </w:p>
    <w:p w14:paraId="276421F5">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《起重机滑接输电装置》 JB/T6391-92 </w:t>
      </w:r>
    </w:p>
    <w:p w14:paraId="47777C4F">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《通用桥式起重机产品质量分等》 JB/T53442-94 </w:t>
      </w:r>
    </w:p>
    <w:p w14:paraId="4DE8C767">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《通用桥式起重机可靠性考核评定试验规范》 JB/T50103-98 </w:t>
      </w:r>
    </w:p>
    <w:p w14:paraId="7636990D">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《起重机用钢丝绳检验和报废实用规范》 GB5972-86 </w:t>
      </w:r>
    </w:p>
    <w:p w14:paraId="279A7160">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《起重机械超载保护装置安全技术规范》 GB12602-90 </w:t>
      </w:r>
    </w:p>
    <w:p w14:paraId="6AFC27D8">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《起重机电气装置施工及验收规范》 GB50256-96 </w:t>
      </w:r>
    </w:p>
    <w:p w14:paraId="66917D9B">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《起重设备安装工程施工及验收规范》 GB50278-96 </w:t>
      </w:r>
    </w:p>
    <w:p w14:paraId="768C9220">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《机电产品包装通用技术条件》 GB/T13384-92 </w:t>
      </w:r>
    </w:p>
    <w:p w14:paraId="09CEC845">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《起重机械危险部位与标志》 GB15052-94 </w:t>
      </w:r>
    </w:p>
    <w:p w14:paraId="5CE5AF3E">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《涂装前钢材表面锈蚀等级和除锈等级》 GB/T8923-88 </w:t>
      </w:r>
    </w:p>
    <w:p w14:paraId="7280D5DB">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《色漆和清漆漆膜的划格试验》 GB/T9286-88 </w:t>
      </w:r>
    </w:p>
    <w:p w14:paraId="539927D2">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《包装储运图示标志》 GB191-90</w:t>
      </w:r>
    </w:p>
    <w:p w14:paraId="35998778">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《焊缝符号表示法》 GB/T324-88 </w:t>
      </w:r>
    </w:p>
    <w:p w14:paraId="5DEEDAD0">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《气焊、手工电弧焊及气体焊焊缝坡口的基本形式和尺寸》 GB/T985-88 </w:t>
      </w:r>
    </w:p>
    <w:p w14:paraId="2F4D3DB2">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《埋弧焊焊缝坡口的形式和尺寸》 GB/T986-88 </w:t>
      </w:r>
    </w:p>
    <w:p w14:paraId="4144B13A">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《钢熔化焊对接接头射线照相和质量分级》 GB/T3323-87 </w:t>
      </w:r>
    </w:p>
    <w:p w14:paraId="034FD691">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《金属熔化焊焊缝缺陷分类及说明》 GB/T6417-86 </w:t>
      </w:r>
    </w:p>
    <w:p w14:paraId="28E719A5">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《钢焊缝手工超声波探伤方法和探伤结果分级》 GB/T11345-86 </w:t>
      </w:r>
    </w:p>
    <w:p w14:paraId="44CFA5C9">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《起重机设计和制造标准 》 FEM、VDI-3571 </w:t>
      </w:r>
    </w:p>
    <w:p w14:paraId="6D17EE80">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《通用电气设备设计标准 》 FEM、 EN、VDE、IEC、DIN </w:t>
      </w:r>
    </w:p>
    <w:p w14:paraId="4A25A693">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《电气设备工程建设和验收标准》 FEM、EN、VDE、DIN </w:t>
      </w:r>
    </w:p>
    <w:p w14:paraId="21743BD5">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《低压开关和控制设备的外壳防护等级》 IEC144 </w:t>
      </w:r>
    </w:p>
    <w:p w14:paraId="03281979">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《可编程仪器的数字接口》 ANSI488 </w:t>
      </w:r>
    </w:p>
    <w:p w14:paraId="3465E830">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《工业控制装置及系统的端子板》 NEMA-ICS4 </w:t>
      </w:r>
    </w:p>
    <w:p w14:paraId="448939E1">
      <w:pPr>
        <w:spacing w:line="36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《工业控制装置及系统的外壳》 NEMA-ICS6</w:t>
      </w:r>
    </w:p>
    <w:p w14:paraId="5F7E3F4F">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五、</w:t>
      </w:r>
      <w:r>
        <w:rPr>
          <w:rFonts w:hint="eastAsia" w:ascii="仿宋_GB2312" w:hAnsi="仿宋_GB2312" w:cs="仿宋_GB2312"/>
          <w:b/>
          <w:bCs/>
          <w:color w:val="auto"/>
          <w:sz w:val="24"/>
          <w:highlight w:val="none"/>
        </w:rPr>
        <w:t>服务要求</w:t>
      </w:r>
    </w:p>
    <w:p w14:paraId="094F99FC">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1.投标人需提交完整改造方案，</w:t>
      </w:r>
      <w:r>
        <w:rPr>
          <w:rFonts w:hint="eastAsia" w:ascii="仿宋_GB2312" w:hAnsi="仿宋_GB2312" w:cs="仿宋_GB2312"/>
          <w:color w:val="auto"/>
          <w:sz w:val="24"/>
          <w:highlight w:val="none"/>
          <w:lang w:val="en-US" w:eastAsia="zh-CN"/>
        </w:rPr>
        <w:t>经招标人同意后</w:t>
      </w:r>
      <w:r>
        <w:rPr>
          <w:rFonts w:hint="eastAsia" w:ascii="仿宋_GB2312" w:hAnsi="仿宋_GB2312" w:cs="仿宋_GB2312"/>
          <w:color w:val="auto"/>
          <w:sz w:val="24"/>
          <w:highlight w:val="none"/>
        </w:rPr>
        <w:t>予以实施，若招标人认为需要优化改造方案的，投标人应予以配合调整。投标人应提前通知招标人垃圾吊改造的关键节点，招标人可根据实际情况选择是否参与见证或监造。</w:t>
      </w:r>
    </w:p>
    <w:p w14:paraId="4DD31BAF">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为保障垃圾吊改造时行车正常使用，以及原变频器与新备件进行联调联试，投标人需提供一套应急保障变频器，在每台垃圾吊改造之前，用应急保障变频器替换原有变频器，改造完成后由投标人自行拆除撤场。应急保障变频器要求质量可靠，变频器性能基本要求如下：</w:t>
      </w:r>
    </w:p>
    <w:p w14:paraId="36D9D8D3">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（1）整流回馈单元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5"/>
        <w:gridCol w:w="3904"/>
      </w:tblGrid>
      <w:tr w14:paraId="3423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5" w:type="dxa"/>
          </w:tcPr>
          <w:p w14:paraId="5E5FDEBB">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项目</w:t>
            </w:r>
          </w:p>
        </w:tc>
        <w:tc>
          <w:tcPr>
            <w:tcW w:w="3904" w:type="dxa"/>
          </w:tcPr>
          <w:p w14:paraId="1EF0A219">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参数</w:t>
            </w:r>
          </w:p>
        </w:tc>
      </w:tr>
      <w:tr w14:paraId="2282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5" w:type="dxa"/>
          </w:tcPr>
          <w:p w14:paraId="4242F51D">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输入电压</w:t>
            </w:r>
          </w:p>
        </w:tc>
        <w:tc>
          <w:tcPr>
            <w:tcW w:w="3904" w:type="dxa"/>
          </w:tcPr>
          <w:p w14:paraId="1DC230D4">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380-480VAC</w:t>
            </w:r>
          </w:p>
        </w:tc>
      </w:tr>
      <w:tr w14:paraId="35A6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5" w:type="dxa"/>
          </w:tcPr>
          <w:p w14:paraId="0B189596">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输入频率</w:t>
            </w:r>
          </w:p>
        </w:tc>
        <w:tc>
          <w:tcPr>
            <w:tcW w:w="3904" w:type="dxa"/>
          </w:tcPr>
          <w:p w14:paraId="492F4587">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(50~60Hz)±6%</w:t>
            </w:r>
          </w:p>
        </w:tc>
      </w:tr>
      <w:tr w14:paraId="543C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5" w:type="dxa"/>
          </w:tcPr>
          <w:p w14:paraId="50A40CE5">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输出电压</w:t>
            </w:r>
          </w:p>
        </w:tc>
        <w:tc>
          <w:tcPr>
            <w:tcW w:w="3904" w:type="dxa"/>
          </w:tcPr>
          <w:p w14:paraId="408F8EAC">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410-780VDC可调</w:t>
            </w:r>
          </w:p>
        </w:tc>
      </w:tr>
      <w:tr w14:paraId="28FA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5" w:type="dxa"/>
          </w:tcPr>
          <w:p w14:paraId="36791371">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过载能力</w:t>
            </w:r>
          </w:p>
        </w:tc>
        <w:tc>
          <w:tcPr>
            <w:tcW w:w="3904" w:type="dxa"/>
          </w:tcPr>
          <w:p w14:paraId="5DEB93DD">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150%过载60s</w:t>
            </w:r>
          </w:p>
        </w:tc>
      </w:tr>
      <w:tr w14:paraId="17E3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5" w:type="dxa"/>
          </w:tcPr>
          <w:p w14:paraId="24A09F38">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工作效率</w:t>
            </w:r>
          </w:p>
        </w:tc>
        <w:tc>
          <w:tcPr>
            <w:tcW w:w="3904" w:type="dxa"/>
          </w:tcPr>
          <w:p w14:paraId="4108FFD6">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&gt;99%</w:t>
            </w:r>
          </w:p>
        </w:tc>
      </w:tr>
      <w:tr w14:paraId="409F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5" w:type="dxa"/>
          </w:tcPr>
          <w:p w14:paraId="16A655DF">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保护功能</w:t>
            </w:r>
          </w:p>
        </w:tc>
        <w:tc>
          <w:tcPr>
            <w:tcW w:w="3904" w:type="dxa"/>
          </w:tcPr>
          <w:p w14:paraId="06390A6E">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过热、联锁、软起等</w:t>
            </w:r>
          </w:p>
        </w:tc>
      </w:tr>
    </w:tbl>
    <w:p w14:paraId="4E709EA5">
      <w:pPr>
        <w:spacing w:line="360" w:lineRule="auto"/>
        <w:ind w:firstLine="240" w:firstLineChars="1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（2）逆变单元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9"/>
        <w:gridCol w:w="3930"/>
      </w:tblGrid>
      <w:tr w14:paraId="05E5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409" w:type="dxa"/>
          </w:tcPr>
          <w:p w14:paraId="5183029F">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项目</w:t>
            </w:r>
          </w:p>
        </w:tc>
        <w:tc>
          <w:tcPr>
            <w:tcW w:w="3930" w:type="dxa"/>
          </w:tcPr>
          <w:p w14:paraId="2A087012">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参数</w:t>
            </w:r>
          </w:p>
        </w:tc>
      </w:tr>
      <w:tr w14:paraId="79FD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409" w:type="dxa"/>
          </w:tcPr>
          <w:p w14:paraId="49E4F885">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输入电压</w:t>
            </w:r>
          </w:p>
        </w:tc>
        <w:tc>
          <w:tcPr>
            <w:tcW w:w="3930" w:type="dxa"/>
          </w:tcPr>
          <w:p w14:paraId="701EEA1E">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410VDC-780VDC</w:t>
            </w:r>
          </w:p>
        </w:tc>
      </w:tr>
      <w:tr w14:paraId="73BD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409" w:type="dxa"/>
          </w:tcPr>
          <w:p w14:paraId="7D87674B">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输出电压</w:t>
            </w:r>
          </w:p>
        </w:tc>
        <w:tc>
          <w:tcPr>
            <w:tcW w:w="3930" w:type="dxa"/>
          </w:tcPr>
          <w:p w14:paraId="4E929544">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300-551VAC</w:t>
            </w:r>
          </w:p>
        </w:tc>
      </w:tr>
      <w:tr w14:paraId="4AAE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409" w:type="dxa"/>
          </w:tcPr>
          <w:p w14:paraId="4F6393D4">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输出频率</w:t>
            </w:r>
          </w:p>
        </w:tc>
        <w:tc>
          <w:tcPr>
            <w:tcW w:w="3930" w:type="dxa"/>
          </w:tcPr>
          <w:p w14:paraId="3A2B0B66">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0-500Hz</w:t>
            </w:r>
          </w:p>
        </w:tc>
      </w:tr>
      <w:tr w14:paraId="718F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409" w:type="dxa"/>
          </w:tcPr>
          <w:p w14:paraId="21279FE2">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调速范围</w:t>
            </w:r>
          </w:p>
        </w:tc>
        <w:tc>
          <w:tcPr>
            <w:tcW w:w="3930" w:type="dxa"/>
          </w:tcPr>
          <w:p w14:paraId="082D74CD">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1:1000</w:t>
            </w:r>
          </w:p>
        </w:tc>
      </w:tr>
      <w:tr w14:paraId="4744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409" w:type="dxa"/>
          </w:tcPr>
          <w:p w14:paraId="194E39AF">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稳速精度</w:t>
            </w:r>
          </w:p>
        </w:tc>
        <w:tc>
          <w:tcPr>
            <w:tcW w:w="3930" w:type="dxa"/>
          </w:tcPr>
          <w:p w14:paraId="6907A857">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≥0.01%</w:t>
            </w:r>
          </w:p>
        </w:tc>
      </w:tr>
      <w:tr w14:paraId="10CC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409" w:type="dxa"/>
          </w:tcPr>
          <w:p w14:paraId="1BAEDEE4">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启动转矩</w:t>
            </w:r>
          </w:p>
        </w:tc>
        <w:tc>
          <w:tcPr>
            <w:tcW w:w="3930" w:type="dxa"/>
          </w:tcPr>
          <w:p w14:paraId="1EA9814F">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≥200%(0Hz)</w:t>
            </w:r>
          </w:p>
        </w:tc>
      </w:tr>
      <w:tr w14:paraId="0F28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409" w:type="dxa"/>
          </w:tcPr>
          <w:p w14:paraId="0F373904">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转矩响应时间</w:t>
            </w:r>
          </w:p>
        </w:tc>
        <w:tc>
          <w:tcPr>
            <w:tcW w:w="3930" w:type="dxa"/>
          </w:tcPr>
          <w:p w14:paraId="54930D9E">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≤5ms</w:t>
            </w:r>
          </w:p>
        </w:tc>
      </w:tr>
      <w:tr w14:paraId="090A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409" w:type="dxa"/>
          </w:tcPr>
          <w:p w14:paraId="183914E2">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过载能力</w:t>
            </w:r>
          </w:p>
        </w:tc>
        <w:tc>
          <w:tcPr>
            <w:tcW w:w="3930" w:type="dxa"/>
          </w:tcPr>
          <w:p w14:paraId="60E2E190">
            <w:pPr>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150%过载60s</w:t>
            </w:r>
          </w:p>
        </w:tc>
      </w:tr>
    </w:tbl>
    <w:p w14:paraId="7A252801">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投标人须对垃圾吊改造所有硬件出厂前进行联调联试，应将PLC系统、联动台、变频器、触摸屏等部件先行组装测试，确保通讯及控制功能正常。投标人须严格执行各环节的检验和试验，并随货提供各过程的检验记录和检验报告。经招标人技术人员功能验收确认后再发往招标人现场。</w:t>
      </w:r>
    </w:p>
    <w:p w14:paraId="7E7CB36F">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4.硬件到达现场后，投标人将硬件再次组装测试，双方再次确认无误后方可开始改造，要求在8小时内改造后垃圾吊系统可紧急使用，24小时内可恢复硬件保护限位。</w:t>
      </w:r>
    </w:p>
    <w:p w14:paraId="10FC99F2">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5.投标人拆除及安装需按照方案进行，与改造方案不相符的情况须及时告知招标人，招标人确认后方可继续。</w:t>
      </w:r>
    </w:p>
    <w:p w14:paraId="45AA8CB1">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8.单台垃圾吊改造完成后，招标人组织控制系统传动试验，用于模拟垃圾吊操作，试验合格后方可验收。</w:t>
      </w:r>
    </w:p>
    <w:p w14:paraId="3AE4297C">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6.投标人根据双方确认后的改造方案、作业指导书和垃圾吊图纸、说明书进行改造。改造过程中的改造资料整理、改造总结编制符合招标人要求，接受招标人技术人员的验收，不合格内容须及时整改，实现闭环。</w:t>
      </w:r>
    </w:p>
    <w:p w14:paraId="5E1842F3">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7.改造时出现问题，2小时内给出解决方案，12小时内到场解决；</w:t>
      </w:r>
    </w:p>
    <w:p w14:paraId="63CD5A5D">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8.改造期间不得影响其他垃圾吊正常运行。改造过程中如遇其他垃圾吊故障等突发情况，投标人接到招标人通知两个小时内能恢复使用。</w:t>
      </w:r>
    </w:p>
    <w:p w14:paraId="581085D0">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9.垃圾吊改造期间，投标人人员食宿自理。</w:t>
      </w:r>
    </w:p>
    <w:p w14:paraId="016A596E">
      <w:pPr>
        <w:spacing w:line="360" w:lineRule="auto"/>
        <w:ind w:firstLine="480" w:firstLineChars="200"/>
        <w:rPr>
          <w:rFonts w:hint="eastAsia" w:ascii="仿宋_GB2312" w:hAnsi="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10.投标人对进入设备内部作业人员安全负有全部责任，投标人进厂作业前须为工作人员购买保险，如工伤保险、意外保险等，具体由投标人自行与员工确定，若因此而引起的法律或者经济纠纷，由投标人负全责，招标人不承担任何责任。</w:t>
      </w:r>
    </w:p>
    <w:p w14:paraId="60C11257">
      <w:pPr>
        <w:spacing w:line="360" w:lineRule="auto"/>
        <w:ind w:firstLine="480" w:firstLineChars="200"/>
        <w:rPr>
          <w:rFonts w:hint="default" w:ascii="仿宋_GB2312" w:hAnsi="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11.投标人负责向政府主管部门做好报检、报验等各项工作，费用含在报价内。</w:t>
      </w:r>
    </w:p>
    <w:p w14:paraId="0CEA6936">
      <w:pPr>
        <w:spacing w:line="360" w:lineRule="auto"/>
        <w:ind w:firstLine="482"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▲六、检验、验收标准</w:t>
      </w:r>
    </w:p>
    <w:p w14:paraId="17D2FEA2">
      <w:pPr>
        <w:spacing w:line="360" w:lineRule="auto"/>
        <w:ind w:firstLine="482"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1.初步验收</w:t>
      </w:r>
    </w:p>
    <w:p w14:paraId="147F414E">
      <w:pPr>
        <w:spacing w:line="360" w:lineRule="auto"/>
        <w:ind w:firstLine="480" w:firstLineChars="200"/>
        <w:rPr>
          <w:color w:val="auto"/>
          <w:highlight w:val="none"/>
        </w:rPr>
      </w:pPr>
      <w:r>
        <w:rPr>
          <w:rFonts w:hint="eastAsia" w:ascii="仿宋_GB2312" w:hAnsi="仿宋_GB2312" w:cs="仿宋_GB2312"/>
          <w:color w:val="auto"/>
          <w:sz w:val="24"/>
          <w:highlight w:val="none"/>
        </w:rPr>
        <w:t>投标人在每台垃圾吊改造完成后，向招标人申请初步验收，初步验收内容如下表。</w:t>
      </w:r>
    </w:p>
    <w:tbl>
      <w:tblPr>
        <w:tblStyle w:val="26"/>
        <w:tblW w:w="9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677"/>
        <w:gridCol w:w="8182"/>
      </w:tblGrid>
      <w:tr w14:paraId="4707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2" w:hRule="atLeast"/>
          <w:jc w:val="center"/>
        </w:trPr>
        <w:tc>
          <w:tcPr>
            <w:tcW w:w="1677" w:type="dxa"/>
            <w:shd w:val="clear" w:color="auto" w:fill="auto"/>
            <w:vAlign w:val="center"/>
          </w:tcPr>
          <w:p w14:paraId="70F90681">
            <w:pPr>
              <w:widowControl/>
              <w:adjustRightInd w:val="0"/>
              <w:snapToGrid w:val="0"/>
              <w:jc w:val="center"/>
              <w:textAlignment w:val="center"/>
              <w:rPr>
                <w:rFonts w:hint="eastAsia" w:ascii="仿宋_GB2312" w:hAnsi="仿宋_GB2312" w:cs="仿宋_GB2312"/>
                <w:color w:val="auto"/>
                <w:sz w:val="21"/>
                <w:szCs w:val="21"/>
                <w:highlight w:val="none"/>
              </w:rPr>
            </w:pPr>
            <w:r>
              <w:rPr>
                <w:rStyle w:val="62"/>
                <w:rFonts w:hint="eastAsia" w:ascii="仿宋_GB2312" w:hAnsi="仿宋_GB2312" w:eastAsia="仿宋_GB2312" w:cs="仿宋_GB2312"/>
                <w:color w:val="auto"/>
                <w:sz w:val="21"/>
                <w:szCs w:val="21"/>
                <w:highlight w:val="none"/>
                <w:lang w:bidi="ar"/>
              </w:rPr>
              <w:t>检验项目</w:t>
            </w:r>
          </w:p>
        </w:tc>
        <w:tc>
          <w:tcPr>
            <w:tcW w:w="8182" w:type="dxa"/>
            <w:shd w:val="clear" w:color="auto" w:fill="auto"/>
            <w:vAlign w:val="center"/>
          </w:tcPr>
          <w:p w14:paraId="1C7B7368">
            <w:pPr>
              <w:widowControl/>
              <w:adjustRightInd w:val="0"/>
              <w:snapToGrid w:val="0"/>
              <w:jc w:val="center"/>
              <w:textAlignment w:val="center"/>
              <w:rPr>
                <w:rFonts w:hint="eastAsia" w:ascii="仿宋_GB2312" w:hAnsi="仿宋_GB2312" w:cs="仿宋_GB2312"/>
                <w:color w:val="auto"/>
                <w:sz w:val="21"/>
                <w:szCs w:val="21"/>
                <w:highlight w:val="none"/>
              </w:rPr>
            </w:pPr>
            <w:r>
              <w:rPr>
                <w:rStyle w:val="62"/>
                <w:rFonts w:hint="eastAsia" w:ascii="仿宋_GB2312" w:hAnsi="仿宋_GB2312" w:eastAsia="仿宋_GB2312" w:cs="仿宋_GB2312"/>
                <w:color w:val="auto"/>
                <w:sz w:val="21"/>
                <w:szCs w:val="21"/>
                <w:highlight w:val="none"/>
                <w:lang w:bidi="ar"/>
              </w:rPr>
              <w:t>检验标准</w:t>
            </w:r>
          </w:p>
        </w:tc>
      </w:tr>
      <w:tr w14:paraId="32CEF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3" w:hRule="atLeast"/>
          <w:jc w:val="center"/>
        </w:trPr>
        <w:tc>
          <w:tcPr>
            <w:tcW w:w="1677" w:type="dxa"/>
            <w:shd w:val="clear" w:color="auto" w:fill="auto"/>
            <w:vAlign w:val="center"/>
          </w:tcPr>
          <w:p w14:paraId="79CA4ED0">
            <w:pPr>
              <w:widowControl/>
              <w:adjustRightInd w:val="0"/>
              <w:snapToGrid w:val="0"/>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PLC系统</w:t>
            </w:r>
          </w:p>
        </w:tc>
        <w:tc>
          <w:tcPr>
            <w:tcW w:w="8182" w:type="dxa"/>
            <w:shd w:val="clear" w:color="auto" w:fill="auto"/>
            <w:vAlign w:val="center"/>
          </w:tcPr>
          <w:p w14:paraId="613E6C55">
            <w:pPr>
              <w:widowControl/>
              <w:adjustRightInd w:val="0"/>
              <w:snapToGrid w:val="0"/>
              <w:jc w:val="left"/>
              <w:textAlignment w:val="bottom"/>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PLC升级。 PLC系统采用博途程序进行编程，须与原有西门子系统匹配，通讯、接口、逻辑控制须满足设备运行要求。</w:t>
            </w:r>
          </w:p>
        </w:tc>
      </w:tr>
      <w:tr w14:paraId="40ADD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1" w:hRule="atLeast"/>
          <w:jc w:val="center"/>
        </w:trPr>
        <w:tc>
          <w:tcPr>
            <w:tcW w:w="1677" w:type="dxa"/>
            <w:shd w:val="clear" w:color="auto" w:fill="auto"/>
            <w:vAlign w:val="center"/>
          </w:tcPr>
          <w:p w14:paraId="484AB6E8">
            <w:pPr>
              <w:widowControl/>
              <w:adjustRightInd w:val="0"/>
              <w:snapToGrid w:val="0"/>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PLC程序</w:t>
            </w:r>
          </w:p>
        </w:tc>
        <w:tc>
          <w:tcPr>
            <w:tcW w:w="8182" w:type="dxa"/>
            <w:shd w:val="clear" w:color="auto" w:fill="auto"/>
            <w:vAlign w:val="center"/>
          </w:tcPr>
          <w:p w14:paraId="7557B453">
            <w:pPr>
              <w:widowControl/>
              <w:adjustRightInd w:val="0"/>
              <w:snapToGrid w:val="0"/>
              <w:jc w:val="left"/>
              <w:textAlignment w:val="bottom"/>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PLC程序要求除特殊封装功能块允许采用SCL之外其他均须采用梯形图编写；要求程序逻辑简明运行可靠，逻辑性好；程序各变量均为中文注释，程序段均为中文说明。技改完成后投标人需将 PLC 程序、密码、编程软件等一并交给招标人，经招标人核对无误后方可视为验收通过。</w:t>
            </w:r>
          </w:p>
        </w:tc>
      </w:tr>
      <w:tr w14:paraId="603AB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jc w:val="center"/>
        </w:trPr>
        <w:tc>
          <w:tcPr>
            <w:tcW w:w="1677" w:type="dxa"/>
            <w:shd w:val="clear" w:color="auto" w:fill="auto"/>
            <w:vAlign w:val="center"/>
          </w:tcPr>
          <w:p w14:paraId="67201FBC">
            <w:pPr>
              <w:widowControl/>
              <w:adjustRightInd w:val="0"/>
              <w:snapToGrid w:val="0"/>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操作座椅</w:t>
            </w:r>
          </w:p>
        </w:tc>
        <w:tc>
          <w:tcPr>
            <w:tcW w:w="8182" w:type="dxa"/>
            <w:shd w:val="clear" w:color="auto" w:fill="auto"/>
            <w:vAlign w:val="center"/>
          </w:tcPr>
          <w:p w14:paraId="566E4ADC">
            <w:pPr>
              <w:adjustRightInd w:val="0"/>
              <w:snapToGrid w:val="0"/>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座椅更新为匹配新增的PLC系统的挡位感知智能化座椅。座椅上安装10/15寸人机交互触摸屏，操作员可时时观察垃圾吊行车运行状态。如抓料重量、垃圾吊行车三维位置、上料统计重量（班统计、日统计、月统计、年统计）、限位状态、启动状态、各电机工作状态等。</w:t>
            </w:r>
          </w:p>
        </w:tc>
      </w:tr>
      <w:tr w14:paraId="261E7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5" w:hRule="atLeast"/>
          <w:jc w:val="center"/>
        </w:trPr>
        <w:tc>
          <w:tcPr>
            <w:tcW w:w="1677" w:type="dxa"/>
            <w:shd w:val="clear" w:color="auto" w:fill="auto"/>
            <w:vAlign w:val="center"/>
          </w:tcPr>
          <w:p w14:paraId="46DB53D7">
            <w:pPr>
              <w:widowControl/>
              <w:adjustRightInd w:val="0"/>
              <w:snapToGrid w:val="0"/>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工业无线收发器</w:t>
            </w:r>
          </w:p>
        </w:tc>
        <w:tc>
          <w:tcPr>
            <w:tcW w:w="8182" w:type="dxa"/>
            <w:shd w:val="clear" w:color="auto" w:fill="auto"/>
            <w:vAlign w:val="center"/>
          </w:tcPr>
          <w:p w14:paraId="672C35F2">
            <w:pPr>
              <w:adjustRightInd w:val="0"/>
              <w:snapToGrid w:val="0"/>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实现垃圾吊行车称重信号及位置信号等无线传输。要求信号连续稳定，专用信道经论证与厂内其他无线设备无干扰，传输距离不低于2Km可快速更换。</w:t>
            </w:r>
          </w:p>
        </w:tc>
      </w:tr>
      <w:tr w14:paraId="64768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7" w:hRule="atLeast"/>
          <w:jc w:val="center"/>
        </w:trPr>
        <w:tc>
          <w:tcPr>
            <w:tcW w:w="1677" w:type="dxa"/>
            <w:shd w:val="clear" w:color="auto" w:fill="auto"/>
            <w:vAlign w:val="center"/>
          </w:tcPr>
          <w:p w14:paraId="79256140">
            <w:pPr>
              <w:widowControl/>
              <w:adjustRightInd w:val="0"/>
              <w:snapToGrid w:val="0"/>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kern w:val="0"/>
                <w:sz w:val="21"/>
                <w:szCs w:val="21"/>
                <w:highlight w:val="none"/>
                <w:lang w:bidi="ar"/>
              </w:rPr>
              <w:t>仓内控制箱</w:t>
            </w:r>
          </w:p>
        </w:tc>
        <w:tc>
          <w:tcPr>
            <w:tcW w:w="8182" w:type="dxa"/>
            <w:shd w:val="clear" w:color="auto" w:fill="auto"/>
            <w:vAlign w:val="center"/>
          </w:tcPr>
          <w:p w14:paraId="2A10E038">
            <w:pPr>
              <w:widowControl/>
              <w:adjustRightInd w:val="0"/>
              <w:snapToGrid w:val="0"/>
              <w:jc w:val="left"/>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垃圾吊行车上的PLC控制箱、通讯控制箱、配电箱、转接箱等共计18个电气控制箱均移至电气室内，加放1800m  KVV12*1.5mm</w:t>
            </w:r>
            <w:r>
              <w:rPr>
                <w:rFonts w:hint="eastAsia" w:ascii="仿宋_GB2312" w:hAnsi="仿宋_GB2312" w:cs="仿宋_GB2312"/>
                <w:color w:val="auto"/>
                <w:sz w:val="21"/>
                <w:szCs w:val="21"/>
                <w:highlight w:val="none"/>
                <w:vertAlign w:val="superscript"/>
              </w:rPr>
              <w:t>2</w:t>
            </w:r>
            <w:r>
              <w:rPr>
                <w:rFonts w:hint="eastAsia" w:ascii="仿宋_GB2312" w:hAnsi="仿宋_GB2312" w:cs="仿宋_GB2312"/>
                <w:color w:val="auto"/>
                <w:sz w:val="21"/>
                <w:szCs w:val="21"/>
                <w:highlight w:val="none"/>
              </w:rPr>
              <w:t>控制电缆；</w:t>
            </w:r>
          </w:p>
        </w:tc>
      </w:tr>
      <w:tr w14:paraId="76B08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5" w:hRule="atLeast"/>
          <w:jc w:val="center"/>
        </w:trPr>
        <w:tc>
          <w:tcPr>
            <w:tcW w:w="1677" w:type="dxa"/>
            <w:shd w:val="clear" w:color="auto" w:fill="auto"/>
            <w:vAlign w:val="center"/>
          </w:tcPr>
          <w:p w14:paraId="319FF0CA">
            <w:pPr>
              <w:widowControl/>
              <w:adjustRightInd w:val="0"/>
              <w:snapToGrid w:val="0"/>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kern w:val="0"/>
                <w:sz w:val="21"/>
                <w:szCs w:val="21"/>
                <w:highlight w:val="none"/>
                <w:lang w:bidi="ar"/>
              </w:rPr>
              <w:t>定位系统</w:t>
            </w:r>
          </w:p>
        </w:tc>
        <w:tc>
          <w:tcPr>
            <w:tcW w:w="8182" w:type="dxa"/>
            <w:shd w:val="clear" w:color="auto" w:fill="auto"/>
            <w:vAlign w:val="center"/>
          </w:tcPr>
          <w:p w14:paraId="5FE531B3">
            <w:pPr>
              <w:widowControl/>
              <w:adjustRightInd w:val="0"/>
              <w:snapToGrid w:val="0"/>
              <w:jc w:val="left"/>
              <w:textAlignment w:val="bottom"/>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垃圾吊均大小车定位采用二维码定位和激光限位组合判定；要求读头沿X方向平行于码带移动，每10ms或25ms提供一次高精度的位置数据，如X绝对位置、码带Y方向偏移量、码带的穿梭速度和质量值，数据通过控制器 </w:t>
            </w:r>
            <w:r>
              <w:rPr>
                <w:color w:val="auto"/>
                <w:highlight w:val="none"/>
              </w:rPr>
              <w:fldChar w:fldCharType="begin"/>
            </w:r>
            <w:r>
              <w:rPr>
                <w:color w:val="auto"/>
                <w:highlight w:val="none"/>
              </w:rPr>
              <w:instrText xml:space="preserve"> HYPERLINK "http://www.gongkong.com/plc/" \t "https://www.gongkong.com/product/202111/_blank" </w:instrText>
            </w:r>
            <w:r>
              <w:rPr>
                <w:color w:val="auto"/>
                <w:highlight w:val="none"/>
              </w:rPr>
              <w:fldChar w:fldCharType="separate"/>
            </w:r>
            <w:r>
              <w:rPr>
                <w:rFonts w:hint="eastAsia" w:ascii="仿宋_GB2312" w:hAnsi="仿宋_GB2312" w:cs="仿宋_GB2312"/>
                <w:color w:val="auto"/>
                <w:sz w:val="21"/>
                <w:szCs w:val="21"/>
                <w:highlight w:val="none"/>
              </w:rPr>
              <w:t>PLC</w:t>
            </w:r>
            <w:r>
              <w:rPr>
                <w:rFonts w:hint="eastAsia" w:ascii="仿宋_GB2312" w:hAnsi="仿宋_GB2312" w:cs="仿宋_GB2312"/>
                <w:color w:val="auto"/>
                <w:sz w:val="21"/>
                <w:szCs w:val="21"/>
                <w:highlight w:val="none"/>
              </w:rPr>
              <w:fldChar w:fldCharType="end"/>
            </w:r>
            <w:r>
              <w:rPr>
                <w:rFonts w:hint="eastAsia" w:ascii="仿宋_GB2312" w:hAnsi="仿宋_GB2312" w:cs="仿宋_GB2312"/>
                <w:color w:val="auto"/>
                <w:sz w:val="21"/>
                <w:szCs w:val="21"/>
                <w:highlight w:val="none"/>
              </w:rPr>
              <w:t> 进行读取。</w:t>
            </w:r>
          </w:p>
        </w:tc>
      </w:tr>
      <w:tr w14:paraId="55815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7" w:hRule="atLeast"/>
          <w:jc w:val="center"/>
        </w:trPr>
        <w:tc>
          <w:tcPr>
            <w:tcW w:w="1677" w:type="dxa"/>
            <w:shd w:val="clear" w:color="auto" w:fill="auto"/>
            <w:vAlign w:val="center"/>
          </w:tcPr>
          <w:p w14:paraId="6C84DCB4">
            <w:pPr>
              <w:widowControl/>
              <w:adjustRightInd w:val="0"/>
              <w:snapToGrid w:val="0"/>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变频器</w:t>
            </w:r>
          </w:p>
        </w:tc>
        <w:tc>
          <w:tcPr>
            <w:tcW w:w="8182" w:type="dxa"/>
            <w:shd w:val="clear" w:color="auto" w:fill="auto"/>
            <w:vAlign w:val="center"/>
          </w:tcPr>
          <w:p w14:paraId="4013DFE6">
            <w:pPr>
              <w:widowControl/>
              <w:adjustRightInd w:val="0"/>
              <w:snapToGrid w:val="0"/>
              <w:jc w:val="left"/>
              <w:textAlignment w:val="bottom"/>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垃圾吊大车、小车、起升变频器控制单元、控制板、驱动板等予以更换；同时保留了起升电机、整流、逆变、回馈等部分功率器件；</w:t>
            </w:r>
          </w:p>
        </w:tc>
      </w:tr>
      <w:tr w14:paraId="3C7F4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5" w:hRule="atLeast"/>
          <w:jc w:val="center"/>
        </w:trPr>
        <w:tc>
          <w:tcPr>
            <w:tcW w:w="1677" w:type="dxa"/>
            <w:shd w:val="clear" w:color="auto" w:fill="auto"/>
            <w:vAlign w:val="center"/>
          </w:tcPr>
          <w:p w14:paraId="5D787965">
            <w:pPr>
              <w:widowControl/>
              <w:adjustRightInd w:val="0"/>
              <w:snapToGrid w:val="0"/>
              <w:jc w:val="center"/>
              <w:textAlignment w:val="center"/>
              <w:rPr>
                <w:rFonts w:hint="eastAsia" w:ascii="仿宋_GB2312" w:hAnsi="仿宋_GB2312" w:cs="仿宋_GB2312"/>
                <w:color w:val="auto"/>
                <w:sz w:val="21"/>
                <w:szCs w:val="21"/>
                <w:highlight w:val="none"/>
              </w:rPr>
            </w:pPr>
            <w:r>
              <w:rPr>
                <w:rStyle w:val="62"/>
                <w:rFonts w:hint="eastAsia" w:ascii="仿宋_GB2312" w:hAnsi="仿宋_GB2312" w:eastAsia="仿宋_GB2312" w:cs="仿宋_GB2312"/>
                <w:color w:val="auto"/>
                <w:sz w:val="21"/>
                <w:szCs w:val="21"/>
                <w:highlight w:val="none"/>
                <w:lang w:bidi="ar"/>
              </w:rPr>
              <w:t>防晃功能</w:t>
            </w:r>
          </w:p>
        </w:tc>
        <w:tc>
          <w:tcPr>
            <w:tcW w:w="8182" w:type="dxa"/>
            <w:shd w:val="clear" w:color="auto" w:fill="auto"/>
            <w:vAlign w:val="center"/>
          </w:tcPr>
          <w:p w14:paraId="71D6120C">
            <w:pPr>
              <w:pStyle w:val="2"/>
              <w:jc w:val="left"/>
              <w:rPr>
                <w:rFonts w:hint="eastAsia" w:ascii="仿宋_GB2312" w:hAnsi="仿宋_GB2312" w:cs="仿宋_GB2312"/>
                <w:color w:val="auto"/>
                <w:sz w:val="21"/>
                <w:szCs w:val="21"/>
                <w:highlight w:val="none"/>
              </w:rPr>
            </w:pPr>
            <w:bookmarkStart w:id="103" w:name="_Toc7641"/>
            <w:r>
              <w:rPr>
                <w:rStyle w:val="62"/>
                <w:rFonts w:hint="eastAsia" w:ascii="仿宋_GB2312" w:hAnsi="仿宋_GB2312" w:eastAsia="仿宋_GB2312" w:cs="仿宋_GB2312"/>
                <w:color w:val="auto"/>
                <w:sz w:val="21"/>
                <w:szCs w:val="21"/>
                <w:highlight w:val="none"/>
                <w:lang w:bidi="ar"/>
              </w:rPr>
              <w:t>改造后起重机应在plc程序内编写闭环防摇摆程序，保证行车在高速停止时抓斗晃动幅度小于0.5度，且滑行距离小于2m。为保证安全严禁采用外挂模块等其他方式实现垃圾吊防摇功能。</w:t>
            </w:r>
            <w:bookmarkEnd w:id="103"/>
          </w:p>
        </w:tc>
      </w:tr>
      <w:tr w14:paraId="15D95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7" w:hRule="atLeast"/>
          <w:jc w:val="center"/>
        </w:trPr>
        <w:tc>
          <w:tcPr>
            <w:tcW w:w="1677" w:type="dxa"/>
            <w:shd w:val="clear" w:color="auto" w:fill="auto"/>
            <w:vAlign w:val="center"/>
          </w:tcPr>
          <w:p w14:paraId="79F81D33">
            <w:pPr>
              <w:widowControl/>
              <w:adjustRightInd w:val="0"/>
              <w:snapToGrid w:val="0"/>
              <w:jc w:val="center"/>
              <w:textAlignment w:val="center"/>
              <w:rPr>
                <w:rFonts w:hint="eastAsia" w:ascii="仿宋_GB2312" w:hAnsi="仿宋_GB2312" w:cs="仿宋_GB2312"/>
                <w:color w:val="auto"/>
                <w:sz w:val="21"/>
                <w:szCs w:val="21"/>
                <w:highlight w:val="none"/>
              </w:rPr>
            </w:pPr>
            <w:r>
              <w:rPr>
                <w:rStyle w:val="62"/>
                <w:rFonts w:hint="eastAsia" w:ascii="仿宋_GB2312" w:hAnsi="仿宋_GB2312" w:eastAsia="仿宋_GB2312" w:cs="仿宋_GB2312"/>
                <w:color w:val="auto"/>
                <w:sz w:val="21"/>
                <w:szCs w:val="21"/>
                <w:highlight w:val="none"/>
                <w:lang w:bidi="ar"/>
              </w:rPr>
              <w:t>防撞功能</w:t>
            </w:r>
          </w:p>
        </w:tc>
        <w:tc>
          <w:tcPr>
            <w:tcW w:w="8182" w:type="dxa"/>
            <w:shd w:val="clear" w:color="auto" w:fill="auto"/>
            <w:vAlign w:val="center"/>
          </w:tcPr>
          <w:p w14:paraId="3E852B42">
            <w:pPr>
              <w:widowControl/>
              <w:adjustRightInd w:val="0"/>
              <w:snapToGrid w:val="0"/>
              <w:jc w:val="left"/>
              <w:textAlignment w:val="bottom"/>
              <w:rPr>
                <w:rFonts w:hint="eastAsia" w:ascii="仿宋_GB2312" w:hAnsi="仿宋_GB2312" w:cs="仿宋_GB2312"/>
                <w:color w:val="auto"/>
                <w:sz w:val="21"/>
                <w:szCs w:val="21"/>
                <w:highlight w:val="none"/>
              </w:rPr>
            </w:pPr>
            <w:r>
              <w:rPr>
                <w:rStyle w:val="62"/>
                <w:rFonts w:hint="eastAsia" w:ascii="仿宋_GB2312" w:hAnsi="仿宋_GB2312" w:eastAsia="仿宋_GB2312" w:cs="仿宋_GB2312"/>
                <w:color w:val="auto"/>
                <w:sz w:val="21"/>
                <w:szCs w:val="21"/>
                <w:highlight w:val="none"/>
                <w:lang w:bidi="ar"/>
              </w:rPr>
              <w:t>3台垃圾吊之间、垃圾吊与卸料平台、垃圾吊与控制室、垃圾吊四周墙壁均有5m减速和1m急停保护；</w:t>
            </w:r>
          </w:p>
        </w:tc>
      </w:tr>
      <w:tr w14:paraId="0931B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5" w:hRule="atLeast"/>
          <w:jc w:val="center"/>
        </w:trPr>
        <w:tc>
          <w:tcPr>
            <w:tcW w:w="1677" w:type="dxa"/>
            <w:shd w:val="clear" w:color="auto" w:fill="auto"/>
            <w:vAlign w:val="center"/>
          </w:tcPr>
          <w:p w14:paraId="4D9F9D0C">
            <w:pPr>
              <w:widowControl/>
              <w:adjustRightInd w:val="0"/>
              <w:snapToGrid w:val="0"/>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抓斗上下限位</w:t>
            </w:r>
          </w:p>
        </w:tc>
        <w:tc>
          <w:tcPr>
            <w:tcW w:w="8182" w:type="dxa"/>
            <w:shd w:val="clear" w:color="auto" w:fill="auto"/>
            <w:vAlign w:val="center"/>
          </w:tcPr>
          <w:p w14:paraId="7F58B557">
            <w:pPr>
              <w:widowControl/>
              <w:adjustRightInd w:val="0"/>
              <w:snapToGrid w:val="0"/>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抓斗设有下停止限位、5m上减速限位、上停止限位、上冲顶限位；</w:t>
            </w:r>
          </w:p>
        </w:tc>
      </w:tr>
      <w:tr w14:paraId="2D9DD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5" w:hRule="atLeast"/>
          <w:jc w:val="center"/>
        </w:trPr>
        <w:tc>
          <w:tcPr>
            <w:tcW w:w="1677" w:type="dxa"/>
            <w:shd w:val="clear" w:color="auto" w:fill="auto"/>
            <w:vAlign w:val="center"/>
          </w:tcPr>
          <w:p w14:paraId="5469ADF3">
            <w:pPr>
              <w:widowControl/>
              <w:adjustRightInd w:val="0"/>
              <w:snapToGrid w:val="0"/>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垃圾吊动作</w:t>
            </w:r>
          </w:p>
        </w:tc>
        <w:tc>
          <w:tcPr>
            <w:tcW w:w="8182" w:type="dxa"/>
            <w:shd w:val="clear" w:color="auto" w:fill="auto"/>
            <w:vAlign w:val="center"/>
          </w:tcPr>
          <w:p w14:paraId="75433038">
            <w:pPr>
              <w:widowControl/>
              <w:adjustRightInd w:val="0"/>
              <w:snapToGrid w:val="0"/>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垃圾吊上下、左右、前后、抓斗开闭动作流畅，运行可靠；</w:t>
            </w:r>
          </w:p>
        </w:tc>
      </w:tr>
      <w:tr w14:paraId="6813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8" w:hRule="atLeast"/>
          <w:jc w:val="center"/>
        </w:trPr>
        <w:tc>
          <w:tcPr>
            <w:tcW w:w="1677" w:type="dxa"/>
            <w:shd w:val="clear" w:color="auto" w:fill="auto"/>
            <w:vAlign w:val="center"/>
          </w:tcPr>
          <w:p w14:paraId="1B8B09A0">
            <w:pPr>
              <w:widowControl/>
              <w:adjustRightInd w:val="0"/>
              <w:snapToGrid w:val="0"/>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称重系统</w:t>
            </w:r>
          </w:p>
        </w:tc>
        <w:tc>
          <w:tcPr>
            <w:tcW w:w="8182" w:type="dxa"/>
            <w:shd w:val="clear" w:color="auto" w:fill="auto"/>
            <w:vAlign w:val="center"/>
          </w:tcPr>
          <w:p w14:paraId="3FFD00C3">
            <w:pPr>
              <w:widowControl/>
              <w:adjustRightInd w:val="0"/>
              <w:snapToGrid w:val="0"/>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称重报表应简单明了、真实可靠，单次投料重量、班投料重量、日投料重量、年投料重量能实时导出，并能通过DP通讯传输至DCS控制系统。</w:t>
            </w:r>
          </w:p>
        </w:tc>
      </w:tr>
      <w:tr w14:paraId="18715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8" w:hRule="atLeast"/>
          <w:jc w:val="center"/>
        </w:trPr>
        <w:tc>
          <w:tcPr>
            <w:tcW w:w="1677" w:type="dxa"/>
            <w:shd w:val="clear" w:color="auto" w:fill="auto"/>
            <w:vAlign w:val="center"/>
          </w:tcPr>
          <w:p w14:paraId="3F6CE720">
            <w:pPr>
              <w:widowControl/>
              <w:adjustRightInd w:val="0"/>
              <w:snapToGrid w:val="0"/>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一键旁路功能</w:t>
            </w:r>
          </w:p>
        </w:tc>
        <w:tc>
          <w:tcPr>
            <w:tcW w:w="8182" w:type="dxa"/>
            <w:shd w:val="clear" w:color="auto" w:fill="auto"/>
            <w:vAlign w:val="center"/>
          </w:tcPr>
          <w:p w14:paraId="4FEB7EEE">
            <w:pPr>
              <w:widowControl/>
              <w:adjustRightInd w:val="0"/>
              <w:snapToGrid w:val="0"/>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对限位开关、通讯故障、子站故障设置旁路功能，旁路功能开启后需同时启用安全限速功能。</w:t>
            </w:r>
          </w:p>
        </w:tc>
      </w:tr>
      <w:tr w14:paraId="0A204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8" w:hRule="atLeast"/>
          <w:jc w:val="center"/>
        </w:trPr>
        <w:tc>
          <w:tcPr>
            <w:tcW w:w="1677" w:type="dxa"/>
            <w:shd w:val="clear" w:color="auto" w:fill="auto"/>
            <w:vAlign w:val="center"/>
          </w:tcPr>
          <w:p w14:paraId="4EDD0AE4">
            <w:pPr>
              <w:widowControl/>
              <w:adjustRightInd w:val="0"/>
              <w:snapToGrid w:val="0"/>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安全保护要求</w:t>
            </w:r>
          </w:p>
        </w:tc>
        <w:tc>
          <w:tcPr>
            <w:tcW w:w="8182" w:type="dxa"/>
            <w:shd w:val="clear" w:color="auto" w:fill="auto"/>
            <w:vAlign w:val="center"/>
          </w:tcPr>
          <w:p w14:paraId="10F7B67B">
            <w:pPr>
              <w:widowControl/>
              <w:adjustRightInd w:val="0"/>
              <w:snapToGrid w:val="0"/>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对大小车与坑壁及障碍物直接可设置分段减速，具有分段减速距离可调的功能，且此功能经授权后可解除。行车直接具有防撞功能，且设置分段防撞，确保运行安全</w:t>
            </w:r>
            <w:r>
              <w:rPr>
                <w:rStyle w:val="62"/>
                <w:rFonts w:hint="eastAsia" w:ascii="仿宋_GB2312" w:hAnsi="仿宋_GB2312" w:cs="仿宋_GB2312"/>
                <w:color w:val="auto"/>
                <w:sz w:val="21"/>
                <w:szCs w:val="21"/>
                <w:highlight w:val="none"/>
                <w:lang w:bidi="ar"/>
              </w:rPr>
              <w:t>。</w:t>
            </w:r>
          </w:p>
        </w:tc>
      </w:tr>
      <w:tr w14:paraId="4803B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8" w:hRule="atLeast"/>
          <w:jc w:val="center"/>
        </w:trPr>
        <w:tc>
          <w:tcPr>
            <w:tcW w:w="1677" w:type="dxa"/>
            <w:shd w:val="clear" w:color="auto" w:fill="auto"/>
            <w:vAlign w:val="center"/>
          </w:tcPr>
          <w:p w14:paraId="12F0EF12">
            <w:pPr>
              <w:widowControl/>
              <w:adjustRightInd w:val="0"/>
              <w:snapToGrid w:val="0"/>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图纸要求</w:t>
            </w:r>
          </w:p>
        </w:tc>
        <w:tc>
          <w:tcPr>
            <w:tcW w:w="8182" w:type="dxa"/>
            <w:shd w:val="clear" w:color="auto" w:fill="auto"/>
            <w:vAlign w:val="center"/>
          </w:tcPr>
          <w:p w14:paraId="40102FB9">
            <w:pPr>
              <w:widowControl/>
              <w:adjustRightInd w:val="0"/>
              <w:snapToGrid w:val="0"/>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图纸按照现图纸重新绘制，并严格按照国家相关标准执行，且保证图纸完整包括但不限于原理图、系统图、放线图、布置图等；</w:t>
            </w:r>
          </w:p>
        </w:tc>
      </w:tr>
      <w:tr w14:paraId="411B2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8" w:hRule="atLeast"/>
          <w:jc w:val="center"/>
        </w:trPr>
        <w:tc>
          <w:tcPr>
            <w:tcW w:w="1677" w:type="dxa"/>
            <w:shd w:val="clear" w:color="auto" w:fill="auto"/>
            <w:vAlign w:val="center"/>
          </w:tcPr>
          <w:p w14:paraId="5089FA92">
            <w:pPr>
              <w:widowControl/>
              <w:adjustRightInd w:val="0"/>
              <w:snapToGrid w:val="0"/>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自动化要求</w:t>
            </w:r>
          </w:p>
        </w:tc>
        <w:tc>
          <w:tcPr>
            <w:tcW w:w="8182" w:type="dxa"/>
            <w:shd w:val="clear" w:color="auto" w:fill="auto"/>
            <w:vAlign w:val="center"/>
          </w:tcPr>
          <w:p w14:paraId="585E9F89">
            <w:pPr>
              <w:widowControl/>
              <w:adjustRightInd w:val="0"/>
              <w:snapToGrid w:val="0"/>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要求保留原自动化功能（一键上料功能及一键返回功能）且安全可靠稳定；</w:t>
            </w:r>
          </w:p>
        </w:tc>
      </w:tr>
    </w:tbl>
    <w:p w14:paraId="496F454F">
      <w:pPr>
        <w:tabs>
          <w:tab w:val="left" w:pos="360"/>
          <w:tab w:val="left" w:pos="540"/>
          <w:tab w:val="left" w:pos="1080"/>
        </w:tabs>
        <w:adjustRightInd w:val="0"/>
        <w:snapToGrid w:val="0"/>
        <w:spacing w:line="400" w:lineRule="exact"/>
        <w:ind w:firstLine="482"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2.试运行验收</w:t>
      </w:r>
    </w:p>
    <w:p w14:paraId="4CC2C67C">
      <w:pPr>
        <w:tabs>
          <w:tab w:val="left" w:pos="360"/>
          <w:tab w:val="left" w:pos="540"/>
          <w:tab w:val="left" w:pos="1080"/>
        </w:tabs>
        <w:adjustRightInd w:val="0"/>
        <w:snapToGrid w:val="0"/>
        <w:spacing w:line="400" w:lineRule="exact"/>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每台垃圾吊改造初步验收通过后，招标人组织为期7天的试运行验收。试运行期间，垃圾吊带料运行，要求垃圾吊运行稳定、通讯畅通、各项参数正常，满足招标人招标文件要求。</w:t>
      </w:r>
    </w:p>
    <w:p w14:paraId="67455444">
      <w:pPr>
        <w:tabs>
          <w:tab w:val="left" w:pos="360"/>
          <w:tab w:val="left" w:pos="540"/>
          <w:tab w:val="left" w:pos="1080"/>
        </w:tabs>
        <w:adjustRightInd w:val="0"/>
        <w:snapToGrid w:val="0"/>
        <w:spacing w:line="400" w:lineRule="exact"/>
        <w:ind w:firstLine="482" w:firstLineChars="200"/>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3.性能验收</w:t>
      </w:r>
    </w:p>
    <w:p w14:paraId="69BEB102">
      <w:pPr>
        <w:tabs>
          <w:tab w:val="left" w:pos="360"/>
          <w:tab w:val="left" w:pos="540"/>
          <w:tab w:val="left" w:pos="1080"/>
        </w:tabs>
        <w:adjustRightInd w:val="0"/>
        <w:snapToGrid w:val="0"/>
        <w:spacing w:line="400" w:lineRule="exact"/>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每台垃圾吊改造在试运行</w:t>
      </w:r>
      <w:r>
        <w:rPr>
          <w:rFonts w:hint="eastAsia" w:ascii="仿宋_GB2312" w:hAnsi="仿宋_GB2312" w:cs="仿宋_GB2312"/>
          <w:color w:val="auto"/>
          <w:sz w:val="24"/>
          <w:highlight w:val="none"/>
          <w:lang w:val="en-US" w:eastAsia="zh-CN"/>
        </w:rPr>
        <w:t>验收</w:t>
      </w:r>
      <w:r>
        <w:rPr>
          <w:rFonts w:hint="eastAsia" w:ascii="仿宋_GB2312" w:hAnsi="仿宋_GB2312" w:cs="仿宋_GB2312"/>
          <w:color w:val="auto"/>
          <w:sz w:val="24"/>
          <w:highlight w:val="none"/>
        </w:rPr>
        <w:t>合格后，</w:t>
      </w:r>
      <w:r>
        <w:rPr>
          <w:rFonts w:hint="eastAsia" w:ascii="仿宋_GB2312" w:hAnsi="仿宋_GB2312" w:cs="仿宋_GB2312"/>
          <w:color w:val="auto"/>
          <w:sz w:val="24"/>
          <w:highlight w:val="none"/>
          <w:lang w:val="en-US" w:eastAsia="zh-CN"/>
        </w:rPr>
        <w:t>招标人</w:t>
      </w:r>
      <w:r>
        <w:rPr>
          <w:rFonts w:hint="eastAsia" w:ascii="仿宋_GB2312" w:hAnsi="仿宋_GB2312" w:cs="仿宋_GB2312"/>
          <w:color w:val="auto"/>
          <w:sz w:val="24"/>
          <w:highlight w:val="none"/>
        </w:rPr>
        <w:t>组织性能验收，垃圾吊连续72+24小时后，运行稳定、通讯畅通、各项参数正常为通过性能验收，视为</w:t>
      </w:r>
      <w:r>
        <w:rPr>
          <w:rFonts w:hint="eastAsia" w:ascii="仿宋_GB2312" w:hAnsi="仿宋_GB2312" w:cs="仿宋_GB2312"/>
          <w:color w:val="auto"/>
          <w:sz w:val="24"/>
          <w:highlight w:val="none"/>
          <w:lang w:val="en-US" w:eastAsia="zh-CN"/>
        </w:rPr>
        <w:t>该</w:t>
      </w:r>
      <w:r>
        <w:rPr>
          <w:rFonts w:hint="eastAsia" w:ascii="仿宋_GB2312" w:hAnsi="仿宋_GB2312" w:cs="仿宋_GB2312"/>
          <w:color w:val="auto"/>
          <w:sz w:val="24"/>
          <w:highlight w:val="none"/>
        </w:rPr>
        <w:t>台垃圾吊改造验收合格</w:t>
      </w:r>
      <w:r>
        <w:rPr>
          <w:rFonts w:hint="eastAsia" w:ascii="仿宋_GB2312" w:hAnsi="仿宋_GB2312" w:cs="仿宋_GB2312"/>
          <w:color w:val="auto"/>
          <w:sz w:val="24"/>
          <w:highlight w:val="none"/>
          <w:lang w:eastAsia="zh-CN"/>
        </w:rPr>
        <w:t>，</w:t>
      </w:r>
      <w:r>
        <w:rPr>
          <w:rFonts w:hint="eastAsia" w:ascii="仿宋_GB2312" w:hAnsi="仿宋_GB2312" w:cs="仿宋_GB2312"/>
          <w:color w:val="auto"/>
          <w:sz w:val="24"/>
          <w:highlight w:val="none"/>
          <w:lang w:val="en-US" w:eastAsia="zh-CN"/>
        </w:rPr>
        <w:t>招标人</w:t>
      </w:r>
      <w:r>
        <w:rPr>
          <w:rFonts w:hint="eastAsia" w:ascii="仿宋_GB2312" w:hAnsi="仿宋_GB2312" w:cs="仿宋_GB2312"/>
          <w:color w:val="auto"/>
          <w:sz w:val="24"/>
          <w:highlight w:val="none"/>
          <w:lang w:eastAsia="zh-CN"/>
        </w:rPr>
        <w:t>出具性能验收报告</w:t>
      </w:r>
      <w:r>
        <w:rPr>
          <w:rFonts w:hint="eastAsia" w:ascii="仿宋_GB2312" w:hAnsi="仿宋_GB2312" w:cs="仿宋_GB2312"/>
          <w:color w:val="auto"/>
          <w:sz w:val="24"/>
          <w:highlight w:val="none"/>
        </w:rPr>
        <w:t>。若未能通过性能验收，投标人负责重新拆除或安装，调换不合格设备并按要求</w:t>
      </w:r>
      <w:r>
        <w:rPr>
          <w:rFonts w:hint="eastAsia" w:ascii="仿宋_GB2312" w:hAnsi="仿宋_GB2312" w:cs="仿宋_GB2312"/>
          <w:color w:val="auto"/>
          <w:sz w:val="24"/>
          <w:highlight w:val="none"/>
          <w:lang w:val="en-US" w:eastAsia="zh-CN"/>
        </w:rPr>
        <w:t>重新进行性能验收</w:t>
      </w:r>
      <w:r>
        <w:rPr>
          <w:rFonts w:hint="eastAsia" w:ascii="仿宋_GB2312" w:hAnsi="仿宋_GB2312" w:cs="仿宋_GB2312"/>
          <w:color w:val="auto"/>
          <w:sz w:val="24"/>
          <w:highlight w:val="none"/>
        </w:rPr>
        <w:t>，由此增加的修理、备件购置、拆除及重新安装调试的费用及延误的工期由投标人自行承担。</w:t>
      </w:r>
    </w:p>
    <w:p w14:paraId="539980AD">
      <w:pPr>
        <w:tabs>
          <w:tab w:val="left" w:pos="360"/>
          <w:tab w:val="left" w:pos="540"/>
          <w:tab w:val="left" w:pos="1080"/>
        </w:tabs>
        <w:adjustRightInd w:val="0"/>
        <w:snapToGrid w:val="0"/>
        <w:spacing w:line="400" w:lineRule="exact"/>
        <w:ind w:firstLine="482"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4.其他验收要求</w:t>
      </w:r>
    </w:p>
    <w:p w14:paraId="42EA5CB7">
      <w:pPr>
        <w:tabs>
          <w:tab w:val="left" w:pos="360"/>
          <w:tab w:val="left" w:pos="540"/>
          <w:tab w:val="left" w:pos="1080"/>
        </w:tabs>
        <w:adjustRightInd w:val="0"/>
        <w:snapToGrid w:val="0"/>
        <w:spacing w:line="400" w:lineRule="exact"/>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货物交付前，投标人应对货物的品牌、规格、质量、数量等方面进行详细、全面的检验，并向招标人出具证明货物符合合同约定的文件；若招标人认为有必要可邀请相关方参加。证明货物符合合同约定的文件是指包括但不限于合格证、检测报告（制造厂家或者第三方机构）等。</w:t>
      </w:r>
    </w:p>
    <w:p w14:paraId="33F3B997">
      <w:pPr>
        <w:tabs>
          <w:tab w:val="left" w:pos="360"/>
          <w:tab w:val="left" w:pos="540"/>
          <w:tab w:val="left" w:pos="1080"/>
        </w:tabs>
        <w:adjustRightInd w:val="0"/>
        <w:snapToGrid w:val="0"/>
        <w:spacing w:line="400" w:lineRule="exact"/>
        <w:ind w:firstLine="480" w:firstLineChars="200"/>
        <w:rPr>
          <w:rFonts w:hint="eastAsia" w:ascii="仿宋_GB2312" w:hAnsi="仿宋_GB2312" w:cs="仿宋_GB2312"/>
          <w:b/>
          <w:bCs/>
          <w:color w:val="auto"/>
          <w:sz w:val="24"/>
          <w:highlight w:val="none"/>
        </w:rPr>
      </w:pPr>
      <w:r>
        <w:rPr>
          <w:rFonts w:hint="eastAsia" w:ascii="仿宋_GB2312" w:hAnsi="仿宋_GB2312" w:cs="仿宋_GB2312"/>
          <w:color w:val="auto"/>
          <w:sz w:val="24"/>
          <w:highlight w:val="none"/>
        </w:rPr>
        <w:t>（2）投标人要保证货物质量符合国家标准或者行业标准的要求，对不符合要求的货物，投标人无条件予以调换。</w:t>
      </w:r>
    </w:p>
    <w:p w14:paraId="282398EB">
      <w:pPr>
        <w:wordWrap w:val="0"/>
        <w:spacing w:before="120" w:beforeLines="50" w:line="360" w:lineRule="auto"/>
        <w:ind w:firstLine="482"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七、质量保证、质保及售后服务</w:t>
      </w:r>
    </w:p>
    <w:p w14:paraId="78AE38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1.单台改造后的垃圾吊质保期限为验收合格之日起24个月。质保期内，发生与本次改造相关的故障，投标人需免费维修。</w:t>
      </w:r>
    </w:p>
    <w:p w14:paraId="4EC02A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2.投标人必须满足招标人售后服务要求。如使用过程发生问题，投标人须在接到招标人通知后必须</w:t>
      </w:r>
      <w:r>
        <w:rPr>
          <w:rFonts w:hint="eastAsia" w:ascii="宋体" w:hAnsi="宋体" w:cs="宋体"/>
          <w:color w:val="auto"/>
          <w:sz w:val="24"/>
          <w:highlight w:val="none"/>
          <w:u w:val="single"/>
        </w:rPr>
        <w:t>12</w:t>
      </w:r>
      <w:r>
        <w:rPr>
          <w:rFonts w:hint="eastAsia" w:ascii="宋体" w:hAnsi="宋体" w:cs="宋体"/>
          <w:color w:val="auto"/>
          <w:sz w:val="24"/>
          <w:highlight w:val="none"/>
        </w:rPr>
        <w:t>小时内做出书面答复并提供解决方案。若需要派遣技术人员，则应在接到招标人通知后，24小时内派人员到达现场进行免费指导解决问题。</w:t>
      </w:r>
    </w:p>
    <w:p w14:paraId="3D397C83">
      <w:pPr>
        <w:spacing w:line="360" w:lineRule="auto"/>
        <w:ind w:left="480" w:leftChars="150"/>
        <w:rPr>
          <w:rFonts w:hint="eastAsia" w:ascii="宋体" w:hAnsi="宋体" w:cs="宋体"/>
          <w:color w:val="auto"/>
          <w:sz w:val="24"/>
          <w:highlight w:val="none"/>
        </w:rPr>
      </w:pPr>
      <w:r>
        <w:rPr>
          <w:rFonts w:hint="eastAsia" w:ascii="宋体" w:hAnsi="宋体" w:cs="宋体"/>
          <w:color w:val="auto"/>
          <w:sz w:val="24"/>
          <w:highlight w:val="none"/>
        </w:rPr>
        <w:t>3.招标人不再对任何售后服务进行付费，投标人的派遣人员产生的一切费用由投标人承担。</w:t>
      </w:r>
    </w:p>
    <w:p w14:paraId="616A7CB6">
      <w:pPr>
        <w:spacing w:line="360" w:lineRule="auto"/>
        <w:ind w:firstLine="482" w:firstLineChars="200"/>
        <w:rPr>
          <w:rFonts w:hint="eastAsia" w:ascii="仿宋_GB2312" w:hAnsi="仿宋_GB2312" w:cs="仿宋_GB2312"/>
          <w:b/>
          <w:bCs/>
          <w:color w:val="auto"/>
          <w:sz w:val="24"/>
          <w:highlight w:val="none"/>
        </w:rPr>
      </w:pPr>
      <w:bookmarkStart w:id="104" w:name="_Toc78809863"/>
      <w:r>
        <w:rPr>
          <w:rFonts w:hint="eastAsia" w:ascii="仿宋_GB2312" w:hAnsi="仿宋_GB2312" w:cs="仿宋_GB2312"/>
          <w:b/>
          <w:bCs/>
          <w:color w:val="auto"/>
          <w:sz w:val="24"/>
          <w:highlight w:val="none"/>
        </w:rPr>
        <w:t>▲</w:t>
      </w:r>
      <w:bookmarkEnd w:id="104"/>
      <w:r>
        <w:rPr>
          <w:rFonts w:hint="eastAsia" w:ascii="仿宋_GB2312" w:hAnsi="仿宋_GB2312" w:cs="仿宋_GB2312"/>
          <w:b/>
          <w:bCs/>
          <w:color w:val="auto"/>
          <w:sz w:val="24"/>
          <w:highlight w:val="none"/>
        </w:rPr>
        <w:t>八、付款结算</w:t>
      </w:r>
    </w:p>
    <w:p w14:paraId="4D3F4B20">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按合同的付款条款执行。</w:t>
      </w:r>
    </w:p>
    <w:p w14:paraId="1031F1E1">
      <w:pPr>
        <w:spacing w:line="360" w:lineRule="auto"/>
        <w:ind w:firstLine="480" w:firstLineChars="200"/>
        <w:rPr>
          <w:rFonts w:hint="eastAsia" w:ascii="仿宋_GB2312" w:hAnsi="仿宋_GB2312" w:cs="仿宋_GB2312"/>
          <w:b/>
          <w:bCs/>
          <w:color w:val="auto"/>
          <w:sz w:val="24"/>
          <w:highlight w:val="none"/>
        </w:rPr>
      </w:pPr>
      <w:r>
        <w:rPr>
          <w:rFonts w:hint="eastAsia" w:ascii="仿宋_GB2312" w:hAnsi="仿宋_GB2312" w:cs="仿宋_GB2312"/>
          <w:color w:val="auto"/>
          <w:sz w:val="24"/>
          <w:highlight w:val="none"/>
        </w:rPr>
        <w:t>九</w:t>
      </w:r>
      <w:r>
        <w:rPr>
          <w:rFonts w:hint="eastAsia" w:ascii="仿宋_GB2312" w:hAnsi="仿宋_GB2312" w:cs="仿宋_GB2312"/>
          <w:b/>
          <w:bCs/>
          <w:color w:val="auto"/>
          <w:sz w:val="24"/>
          <w:highlight w:val="none"/>
        </w:rPr>
        <w:t>、安全文明作业</w:t>
      </w:r>
    </w:p>
    <w:p w14:paraId="671903C0">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1.安全文明施工应遵守国家、行业、地方法律法规，满足招标人项目公司的管理制度要求，安全文明施工所需的相关措施、设施、材料、人员、消防器材等均由投标人负责。</w:t>
      </w:r>
    </w:p>
    <w:p w14:paraId="45B1D3BC">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2.遵守招标人现场安全规章制度，不得违章作业，出现任何人员安全事故由</w:t>
      </w:r>
      <w:r>
        <w:rPr>
          <w:rFonts w:hint="eastAsia" w:ascii="宋体" w:hAnsi="宋体" w:cs="宋体"/>
          <w:color w:val="auto"/>
          <w:sz w:val="24"/>
          <w:highlight w:val="none"/>
        </w:rPr>
        <w:t>投标人</w:t>
      </w:r>
      <w:r>
        <w:rPr>
          <w:rFonts w:hint="eastAsia" w:ascii="仿宋_GB2312" w:hAnsi="仿宋_GB2312" w:cs="仿宋_GB2312"/>
          <w:color w:val="auto"/>
          <w:sz w:val="24"/>
          <w:highlight w:val="none"/>
        </w:rPr>
        <w:t>自行承担。</w:t>
      </w:r>
    </w:p>
    <w:p w14:paraId="5214BE38">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w:t>
      </w:r>
      <w:r>
        <w:rPr>
          <w:rFonts w:hint="eastAsia" w:ascii="宋体" w:hAnsi="宋体" w:cs="宋体"/>
          <w:color w:val="auto"/>
          <w:sz w:val="24"/>
          <w:highlight w:val="none"/>
        </w:rPr>
        <w:t>投标人</w:t>
      </w:r>
      <w:r>
        <w:rPr>
          <w:rFonts w:hint="eastAsia" w:ascii="仿宋_GB2312" w:hAnsi="仿宋_GB2312" w:cs="仿宋_GB2312"/>
          <w:color w:val="auto"/>
          <w:sz w:val="24"/>
          <w:highlight w:val="none"/>
        </w:rPr>
        <w:t>在服务期间自备改造安装设备专用工具和服务人员的所有劳防用品。</w:t>
      </w:r>
    </w:p>
    <w:p w14:paraId="00D24BE8">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w:t>
      </w:r>
      <w:r>
        <w:rPr>
          <w:rFonts w:hint="eastAsia" w:ascii="宋体" w:hAnsi="宋体" w:cs="宋体"/>
          <w:color w:val="auto"/>
          <w:sz w:val="24"/>
          <w:highlight w:val="none"/>
        </w:rPr>
        <w:t>投标人</w:t>
      </w:r>
      <w:r>
        <w:rPr>
          <w:rFonts w:hint="eastAsia" w:ascii="仿宋_GB2312" w:hAnsi="仿宋_GB2312" w:cs="仿宋_GB2312"/>
          <w:color w:val="auto"/>
          <w:sz w:val="24"/>
          <w:highlight w:val="none"/>
        </w:rPr>
        <w:t>在检修施工中应负责对招标人项目公司生产场地的保护，与检修区域无关进行必要隔离，若造成损坏应负责修复或赔偿。对作业区域必须做到工完料尽场地清，改造中更换下来的废旧物资应按时堆放至指定地点。</w:t>
      </w:r>
    </w:p>
    <w:p w14:paraId="1EB6A36E">
      <w:pPr>
        <w:spacing w:line="360" w:lineRule="auto"/>
        <w:ind w:firstLine="480"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5.作业人员需持证上岗。</w:t>
      </w:r>
    </w:p>
    <w:p w14:paraId="5FA86384">
      <w:pPr>
        <w:spacing w:line="360" w:lineRule="auto"/>
        <w:ind w:firstLine="480" w:firstLineChars="200"/>
        <w:rPr>
          <w:rFonts w:hint="eastAsia" w:ascii="仿宋_GB2312" w:hAnsi="仿宋_GB2312" w:cs="仿宋_GB2312"/>
          <w:b/>
          <w:bCs/>
          <w:color w:val="auto"/>
          <w:sz w:val="24"/>
          <w:highlight w:val="none"/>
        </w:rPr>
      </w:pPr>
      <w:r>
        <w:rPr>
          <w:rFonts w:hint="eastAsia" w:ascii="仿宋_GB2312" w:hAnsi="仿宋_GB2312" w:cs="仿宋_GB2312"/>
          <w:color w:val="auto"/>
          <w:sz w:val="24"/>
          <w:highlight w:val="none"/>
        </w:rPr>
        <w:t>十</w:t>
      </w:r>
      <w:r>
        <w:rPr>
          <w:rFonts w:hint="eastAsia" w:ascii="仿宋_GB2312" w:hAnsi="仿宋_GB2312" w:cs="仿宋_GB2312"/>
          <w:b/>
          <w:bCs/>
          <w:color w:val="auto"/>
          <w:sz w:val="24"/>
          <w:highlight w:val="none"/>
        </w:rPr>
        <w:t>、保密服务要求</w:t>
      </w:r>
    </w:p>
    <w:p w14:paraId="59FE98E7">
      <w:pPr>
        <w:spacing w:line="360" w:lineRule="auto"/>
        <w:ind w:firstLine="480" w:firstLineChars="200"/>
        <w:rPr>
          <w:rFonts w:hint="eastAsia" w:ascii="仿宋_GB2312" w:hAnsi="仿宋_GB2312" w:cs="仿宋_GB2312"/>
          <w:color w:val="auto"/>
          <w:sz w:val="24"/>
          <w:highlight w:val="none"/>
        </w:rPr>
      </w:pPr>
      <w:r>
        <w:rPr>
          <w:rFonts w:hint="eastAsia" w:ascii="宋体" w:hAnsi="宋体" w:cs="宋体"/>
          <w:color w:val="auto"/>
          <w:sz w:val="24"/>
          <w:highlight w:val="none"/>
        </w:rPr>
        <w:t>投标人</w:t>
      </w:r>
      <w:r>
        <w:rPr>
          <w:rFonts w:hint="eastAsia" w:ascii="仿宋_GB2312" w:hAnsi="仿宋_GB2312" w:cs="仿宋_GB2312"/>
          <w:color w:val="auto"/>
          <w:sz w:val="24"/>
          <w:highlight w:val="none"/>
        </w:rPr>
        <w:t>对招标人提供的所有业务技术资料、文档，有责任对第三方保密；投标人在供货过程中涉及第三方产品（投标人提供的），若出现技术、经济或法律上的纠纷，应由投标人全面承担并解决，确保不影响项目的进度。</w:t>
      </w:r>
      <w:r>
        <w:rPr>
          <w:rFonts w:hint="eastAsia" w:ascii="宋体" w:hAnsi="宋体" w:cs="宋体"/>
          <w:color w:val="auto"/>
          <w:sz w:val="24"/>
          <w:highlight w:val="none"/>
        </w:rPr>
        <w:t>投标人</w:t>
      </w:r>
      <w:r>
        <w:rPr>
          <w:rFonts w:hint="eastAsia" w:ascii="仿宋_GB2312" w:hAnsi="仿宋_GB2312" w:cs="仿宋_GB2312"/>
          <w:color w:val="auto"/>
          <w:sz w:val="24"/>
          <w:highlight w:val="none"/>
        </w:rPr>
        <w:t>应严格遵守招标人关于保密方面的规定，自觉保守招标人的商业秘密。招标人为方便项目实施所提供给投标人的工作流程、管理模式、规程、程序等相关文档资料、文档、数据均属于招标人所有。未经招标人授权同意，</w:t>
      </w:r>
      <w:r>
        <w:rPr>
          <w:rFonts w:hint="eastAsia" w:ascii="宋体" w:hAnsi="宋体" w:cs="宋体"/>
          <w:color w:val="auto"/>
          <w:sz w:val="24"/>
          <w:highlight w:val="none"/>
        </w:rPr>
        <w:t>投标人</w:t>
      </w:r>
      <w:r>
        <w:rPr>
          <w:rFonts w:hint="eastAsia" w:ascii="仿宋_GB2312" w:hAnsi="仿宋_GB2312" w:cs="仿宋_GB2312"/>
          <w:color w:val="auto"/>
          <w:sz w:val="24"/>
          <w:highlight w:val="none"/>
        </w:rPr>
        <w:t>不得另作他用。因</w:t>
      </w:r>
      <w:r>
        <w:rPr>
          <w:rFonts w:hint="eastAsia" w:ascii="宋体" w:hAnsi="宋体" w:cs="宋体"/>
          <w:color w:val="auto"/>
          <w:sz w:val="24"/>
          <w:highlight w:val="none"/>
        </w:rPr>
        <w:t>投标人的</w:t>
      </w:r>
      <w:r>
        <w:rPr>
          <w:rFonts w:hint="eastAsia" w:ascii="仿宋_GB2312" w:hAnsi="仿宋_GB2312" w:cs="仿宋_GB2312"/>
          <w:color w:val="auto"/>
          <w:sz w:val="24"/>
          <w:highlight w:val="none"/>
        </w:rPr>
        <w:t>原因导致上述资料、文档、数据或招标人商业秘密泄露的，招标人有权要求</w:t>
      </w:r>
      <w:r>
        <w:rPr>
          <w:rFonts w:hint="eastAsia" w:ascii="宋体" w:hAnsi="宋体" w:cs="宋体"/>
          <w:color w:val="auto"/>
          <w:sz w:val="24"/>
          <w:highlight w:val="none"/>
        </w:rPr>
        <w:t>投标人</w:t>
      </w:r>
      <w:r>
        <w:rPr>
          <w:rFonts w:hint="eastAsia" w:ascii="仿宋_GB2312" w:hAnsi="仿宋_GB2312" w:cs="仿宋_GB2312"/>
          <w:color w:val="auto"/>
          <w:sz w:val="24"/>
          <w:highlight w:val="none"/>
        </w:rPr>
        <w:t>采取措施消除影响并赔偿招标人损失。</w:t>
      </w:r>
    </w:p>
    <w:p w14:paraId="11687209">
      <w:pPr>
        <w:pStyle w:val="17"/>
        <w:rPr>
          <w:rFonts w:hint="eastAsia" w:ascii="仿宋_GB2312" w:hAnsi="仿宋_GB2312" w:cs="仿宋_GB2312"/>
          <w:color w:val="auto"/>
          <w:sz w:val="24"/>
          <w:highlight w:val="none"/>
        </w:rPr>
      </w:pPr>
    </w:p>
    <w:p w14:paraId="7B284D0E">
      <w:pPr>
        <w:numPr>
          <w:ilvl w:val="255"/>
          <w:numId w:val="0"/>
        </w:numPr>
        <w:wordWrap w:val="0"/>
        <w:spacing w:line="440" w:lineRule="exact"/>
        <w:ind w:firstLine="482" w:firstLineChars="200"/>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w:t>
      </w:r>
      <w:r>
        <w:rPr>
          <w:rFonts w:hint="eastAsia" w:ascii="仿宋_GB2312" w:hAnsi="仿宋_GB2312" w:cs="仿宋_GB2312"/>
          <w:color w:val="auto"/>
          <w:sz w:val="24"/>
          <w:highlight w:val="none"/>
        </w:rPr>
        <w:t>招标文件中打▲内容为实质性要求，不允许有负偏离，投标人未提出偏离的，视为全部实质性响应。</w:t>
      </w:r>
      <w:bookmarkStart w:id="105" w:name="_Toc26319"/>
    </w:p>
    <w:p w14:paraId="190C6333">
      <w:pPr>
        <w:rPr>
          <w:rFonts w:cs="宋体"/>
          <w:b/>
          <w:color w:val="auto"/>
          <w:kern w:val="44"/>
          <w:szCs w:val="44"/>
          <w:highlight w:val="none"/>
        </w:rPr>
      </w:pPr>
    </w:p>
    <w:p w14:paraId="0B464890">
      <w:pPr>
        <w:pStyle w:val="17"/>
        <w:rPr>
          <w:color w:val="auto"/>
          <w:highlight w:val="none"/>
        </w:rPr>
      </w:pPr>
    </w:p>
    <w:p w14:paraId="225A7629">
      <w:pPr>
        <w:widowControl/>
        <w:numPr>
          <w:ilvl w:val="0"/>
          <w:numId w:val="3"/>
        </w:numPr>
        <w:spacing w:line="360" w:lineRule="auto"/>
        <w:jc w:val="center"/>
        <w:outlineLvl w:val="0"/>
        <w:rPr>
          <w:rFonts w:eastAsia="黑体" w:cs="黑体"/>
          <w:bCs/>
          <w:color w:val="auto"/>
          <w:kern w:val="44"/>
          <w:szCs w:val="44"/>
          <w:highlight w:val="none"/>
        </w:rPr>
      </w:pPr>
      <w:bookmarkStart w:id="106" w:name="_Toc22506"/>
      <w:r>
        <w:rPr>
          <w:rFonts w:hint="eastAsia" w:eastAsia="黑体" w:cs="黑体"/>
          <w:bCs/>
          <w:color w:val="auto"/>
          <w:kern w:val="44"/>
          <w:szCs w:val="44"/>
          <w:highlight w:val="none"/>
        </w:rPr>
        <w:t>评标方法及评价标准</w:t>
      </w:r>
      <w:bookmarkEnd w:id="105"/>
      <w:bookmarkEnd w:id="106"/>
    </w:p>
    <w:p w14:paraId="0373BF11">
      <w:pPr>
        <w:pStyle w:val="4"/>
        <w:spacing w:before="140" w:after="140" w:line="360" w:lineRule="auto"/>
        <w:jc w:val="center"/>
        <w:rPr>
          <w:rFonts w:ascii="Times New Roman" w:hAnsi="Times New Roman" w:eastAsia="仿宋_GB2312" w:cs="仿宋_GB2312"/>
          <w:color w:val="auto"/>
          <w:sz w:val="24"/>
          <w:szCs w:val="24"/>
          <w:highlight w:val="none"/>
        </w:rPr>
      </w:pPr>
      <w:bookmarkStart w:id="107" w:name="_Toc31193"/>
      <w:bookmarkStart w:id="108" w:name="_Toc12216"/>
      <w:r>
        <w:rPr>
          <w:rFonts w:hint="eastAsia" w:ascii="Times New Roman" w:hAnsi="Times New Roman" w:eastAsia="仿宋_GB2312" w:cs="仿宋_GB2312"/>
          <w:color w:val="auto"/>
          <w:sz w:val="24"/>
          <w:szCs w:val="24"/>
          <w:highlight w:val="none"/>
        </w:rPr>
        <w:t>1</w:t>
      </w:r>
      <w:r>
        <w:rPr>
          <w:rFonts w:hint="eastAsia" w:ascii="Times New Roman" w:hAnsi="Times New Roman" w:eastAsia="仿宋_GB2312" w:cs="仿宋_GB2312"/>
          <w:color w:val="auto"/>
          <w:spacing w:val="-28"/>
          <w:sz w:val="24"/>
          <w:szCs w:val="24"/>
          <w:highlight w:val="none"/>
        </w:rPr>
        <w:t>、</w:t>
      </w:r>
      <w:r>
        <w:rPr>
          <w:rFonts w:hint="eastAsia" w:ascii="Times New Roman" w:hAnsi="Times New Roman" w:eastAsia="仿宋_GB2312" w:cs="仿宋_GB2312"/>
          <w:color w:val="auto"/>
          <w:sz w:val="24"/>
          <w:szCs w:val="24"/>
          <w:highlight w:val="none"/>
        </w:rPr>
        <w:t>评标方法</w:t>
      </w:r>
      <w:bookmarkEnd w:id="107"/>
    </w:p>
    <w:p w14:paraId="0A759D2F">
      <w:pPr>
        <w:spacing w:line="440" w:lineRule="exact"/>
        <w:ind w:firstLine="420"/>
        <w:rPr>
          <w:rFonts w:cs="仿宋_GB2312"/>
          <w:color w:val="auto"/>
          <w:sz w:val="24"/>
          <w:highlight w:val="none"/>
        </w:rPr>
      </w:pPr>
      <w:r>
        <w:rPr>
          <w:rFonts w:hint="eastAsia" w:cs="仿宋_GB2312"/>
          <w:color w:val="auto"/>
          <w:spacing w:val="10"/>
          <w:sz w:val="24"/>
          <w:highlight w:val="none"/>
        </w:rPr>
        <w:t>本</w:t>
      </w:r>
      <w:r>
        <w:rPr>
          <w:rFonts w:hint="eastAsia" w:cs="仿宋_GB2312"/>
          <w:color w:val="auto"/>
          <w:spacing w:val="9"/>
          <w:sz w:val="24"/>
          <w:highlight w:val="none"/>
        </w:rPr>
        <w:t>项目评标方法及标准采用</w:t>
      </w:r>
      <w:r>
        <w:rPr>
          <w:rFonts w:hint="eastAsia" w:cs="仿宋_GB2312"/>
          <w:b/>
          <w:bCs/>
          <w:color w:val="auto"/>
          <w:spacing w:val="9"/>
          <w:sz w:val="24"/>
          <w:highlight w:val="none"/>
        </w:rPr>
        <w:t>综合评分法</w:t>
      </w:r>
      <w:r>
        <w:rPr>
          <w:rFonts w:hint="eastAsia" w:cs="仿宋_GB2312"/>
          <w:color w:val="auto"/>
          <w:spacing w:val="11"/>
          <w:sz w:val="24"/>
          <w:highlight w:val="none"/>
        </w:rPr>
        <w:t>。</w:t>
      </w:r>
    </w:p>
    <w:p w14:paraId="5D1BDBC7">
      <w:pPr>
        <w:pStyle w:val="4"/>
        <w:spacing w:before="140" w:after="140" w:line="360" w:lineRule="auto"/>
        <w:jc w:val="center"/>
        <w:rPr>
          <w:rFonts w:ascii="Times New Roman" w:hAnsi="Times New Roman" w:eastAsia="仿宋_GB2312" w:cs="仿宋_GB2312"/>
          <w:color w:val="auto"/>
          <w:sz w:val="24"/>
          <w:szCs w:val="24"/>
          <w:highlight w:val="none"/>
        </w:rPr>
      </w:pPr>
      <w:bookmarkStart w:id="109" w:name="_Toc29208"/>
      <w:r>
        <w:rPr>
          <w:rFonts w:hint="eastAsia" w:ascii="Times New Roman" w:hAnsi="Times New Roman" w:eastAsia="仿宋_GB2312" w:cs="仿宋_GB2312"/>
          <w:color w:val="auto"/>
          <w:sz w:val="24"/>
          <w:szCs w:val="24"/>
          <w:highlight w:val="none"/>
        </w:rPr>
        <w:t>2、评标程序</w:t>
      </w:r>
      <w:bookmarkEnd w:id="109"/>
    </w:p>
    <w:p w14:paraId="10CB5AFB">
      <w:pPr>
        <w:spacing w:line="440" w:lineRule="exact"/>
        <w:ind w:firstLine="418"/>
        <w:rPr>
          <w:rFonts w:cs="仿宋_GB2312"/>
          <w:color w:val="auto"/>
          <w:sz w:val="24"/>
          <w:highlight w:val="none"/>
        </w:rPr>
      </w:pPr>
      <w:r>
        <w:rPr>
          <w:rFonts w:hint="eastAsia" w:cs="仿宋_GB2312"/>
          <w:color w:val="auto"/>
          <w:spacing w:val="9"/>
          <w:sz w:val="24"/>
          <w:highlight w:val="none"/>
        </w:rPr>
        <w:t>评标委员会按照以下程序开展评标工</w:t>
      </w:r>
      <w:r>
        <w:rPr>
          <w:rFonts w:hint="eastAsia" w:cs="仿宋_GB2312"/>
          <w:color w:val="auto"/>
          <w:spacing w:val="8"/>
          <w:sz w:val="24"/>
          <w:highlight w:val="none"/>
        </w:rPr>
        <w:t>作</w:t>
      </w:r>
      <w:r>
        <w:rPr>
          <w:rFonts w:hint="eastAsia" w:cs="仿宋_GB2312"/>
          <w:color w:val="auto"/>
          <w:spacing w:val="10"/>
          <w:sz w:val="24"/>
          <w:highlight w:val="none"/>
        </w:rPr>
        <w:t>。</w:t>
      </w:r>
    </w:p>
    <w:p w14:paraId="646E020F">
      <w:pPr>
        <w:spacing w:line="440" w:lineRule="exact"/>
        <w:ind w:firstLine="421"/>
        <w:rPr>
          <w:rFonts w:cs="仿宋_GB2312"/>
          <w:color w:val="auto"/>
          <w:sz w:val="24"/>
          <w:highlight w:val="none"/>
        </w:rPr>
      </w:pPr>
      <w:r>
        <w:rPr>
          <w:rFonts w:hint="eastAsia" w:cs="仿宋_GB2312"/>
          <w:color w:val="auto"/>
          <w:spacing w:val="3"/>
          <w:sz w:val="24"/>
          <w:highlight w:val="none"/>
        </w:rPr>
        <w:t xml:space="preserve">2.1 </w:t>
      </w:r>
      <w:r>
        <w:rPr>
          <w:rFonts w:hint="eastAsia" w:cs="仿宋_GB2312"/>
          <w:color w:val="auto"/>
          <w:spacing w:val="5"/>
          <w:sz w:val="24"/>
          <w:highlight w:val="none"/>
        </w:rPr>
        <w:t>熟悉招标</w:t>
      </w:r>
      <w:r>
        <w:rPr>
          <w:rFonts w:hint="eastAsia" w:cs="仿宋_GB2312"/>
          <w:color w:val="auto"/>
          <w:spacing w:val="4"/>
          <w:sz w:val="24"/>
          <w:highlight w:val="none"/>
        </w:rPr>
        <w:t>文件和评标办法</w:t>
      </w:r>
      <w:r>
        <w:rPr>
          <w:rFonts w:hint="eastAsia" w:cs="仿宋_GB2312"/>
          <w:color w:val="auto"/>
          <w:spacing w:val="5"/>
          <w:sz w:val="24"/>
          <w:highlight w:val="none"/>
        </w:rPr>
        <w:t>；</w:t>
      </w:r>
    </w:p>
    <w:p w14:paraId="6B51E019">
      <w:pPr>
        <w:spacing w:line="440" w:lineRule="exact"/>
        <w:ind w:firstLine="421"/>
        <w:rPr>
          <w:rFonts w:cs="仿宋_GB2312"/>
          <w:color w:val="auto"/>
          <w:sz w:val="24"/>
          <w:highlight w:val="none"/>
        </w:rPr>
      </w:pPr>
      <w:r>
        <w:rPr>
          <w:rFonts w:hint="eastAsia" w:cs="仿宋_GB2312"/>
          <w:color w:val="auto"/>
          <w:sz w:val="24"/>
          <w:highlight w:val="none"/>
        </w:rPr>
        <w:t>2.2资格审查</w:t>
      </w:r>
      <w:r>
        <w:rPr>
          <w:rFonts w:hint="eastAsia" w:cs="仿宋_GB2312"/>
          <w:color w:val="auto"/>
          <w:spacing w:val="-5"/>
          <w:sz w:val="24"/>
          <w:highlight w:val="none"/>
        </w:rPr>
        <w:t>；</w:t>
      </w:r>
    </w:p>
    <w:p w14:paraId="3F0F1971">
      <w:pPr>
        <w:spacing w:line="440" w:lineRule="exact"/>
        <w:ind w:firstLine="421"/>
        <w:rPr>
          <w:rFonts w:cs="仿宋_GB2312"/>
          <w:color w:val="auto"/>
          <w:sz w:val="24"/>
          <w:highlight w:val="none"/>
        </w:rPr>
      </w:pPr>
      <w:r>
        <w:rPr>
          <w:rFonts w:hint="eastAsia" w:cs="仿宋_GB2312"/>
          <w:color w:val="auto"/>
          <w:sz w:val="24"/>
          <w:highlight w:val="none"/>
        </w:rPr>
        <w:t>2.3初步评审</w:t>
      </w:r>
      <w:r>
        <w:rPr>
          <w:rFonts w:hint="eastAsia" w:cs="仿宋_GB2312"/>
          <w:color w:val="auto"/>
          <w:spacing w:val="-5"/>
          <w:sz w:val="24"/>
          <w:highlight w:val="none"/>
        </w:rPr>
        <w:t>；</w:t>
      </w:r>
    </w:p>
    <w:p w14:paraId="414FCF5B">
      <w:pPr>
        <w:spacing w:line="440" w:lineRule="exact"/>
        <w:ind w:firstLine="421"/>
        <w:rPr>
          <w:rFonts w:cs="仿宋_GB2312"/>
          <w:color w:val="auto"/>
          <w:sz w:val="24"/>
          <w:highlight w:val="none"/>
        </w:rPr>
      </w:pPr>
      <w:r>
        <w:rPr>
          <w:rFonts w:hint="eastAsia" w:cs="仿宋_GB2312"/>
          <w:color w:val="auto"/>
          <w:spacing w:val="2"/>
          <w:sz w:val="24"/>
          <w:highlight w:val="none"/>
        </w:rPr>
        <w:t>2.</w:t>
      </w:r>
      <w:r>
        <w:rPr>
          <w:rFonts w:hint="eastAsia" w:cs="仿宋_GB2312"/>
          <w:color w:val="auto"/>
          <w:spacing w:val="1"/>
          <w:sz w:val="24"/>
          <w:highlight w:val="none"/>
        </w:rPr>
        <w:t>3.1符合性审查</w:t>
      </w:r>
      <w:r>
        <w:rPr>
          <w:rFonts w:hint="eastAsia" w:cs="仿宋_GB2312"/>
          <w:color w:val="auto"/>
          <w:spacing w:val="2"/>
          <w:sz w:val="24"/>
          <w:highlight w:val="none"/>
        </w:rPr>
        <w:t>；</w:t>
      </w:r>
    </w:p>
    <w:p w14:paraId="2DD29E97">
      <w:pPr>
        <w:spacing w:line="440" w:lineRule="exact"/>
        <w:ind w:firstLine="421"/>
        <w:rPr>
          <w:rFonts w:cs="仿宋_GB2312"/>
          <w:color w:val="auto"/>
          <w:sz w:val="24"/>
          <w:highlight w:val="none"/>
        </w:rPr>
      </w:pPr>
      <w:r>
        <w:rPr>
          <w:rFonts w:hint="eastAsia" w:cs="仿宋_GB2312"/>
          <w:color w:val="auto"/>
          <w:spacing w:val="2"/>
          <w:sz w:val="24"/>
          <w:highlight w:val="none"/>
        </w:rPr>
        <w:t>2.3</w:t>
      </w:r>
      <w:r>
        <w:rPr>
          <w:rFonts w:hint="eastAsia" w:cs="仿宋_GB2312"/>
          <w:color w:val="auto"/>
          <w:spacing w:val="1"/>
          <w:sz w:val="24"/>
          <w:highlight w:val="none"/>
        </w:rPr>
        <w:t>.2</w:t>
      </w:r>
      <w:r>
        <w:rPr>
          <w:rFonts w:hint="eastAsia" w:cs="仿宋_GB2312"/>
          <w:color w:val="auto"/>
          <w:spacing w:val="2"/>
          <w:sz w:val="24"/>
          <w:highlight w:val="none"/>
        </w:rPr>
        <w:t xml:space="preserve"> 有效标的确定</w:t>
      </w:r>
      <w:r>
        <w:rPr>
          <w:rFonts w:hint="eastAsia" w:cs="仿宋_GB2312"/>
          <w:color w:val="auto"/>
          <w:spacing w:val="3"/>
          <w:sz w:val="24"/>
          <w:highlight w:val="none"/>
        </w:rPr>
        <w:t>；</w:t>
      </w:r>
    </w:p>
    <w:p w14:paraId="041ADA1B">
      <w:pPr>
        <w:spacing w:line="440" w:lineRule="exact"/>
        <w:ind w:firstLine="421"/>
        <w:rPr>
          <w:rFonts w:cs="仿宋_GB2312"/>
          <w:color w:val="auto"/>
          <w:sz w:val="24"/>
          <w:highlight w:val="none"/>
        </w:rPr>
      </w:pPr>
      <w:r>
        <w:rPr>
          <w:rFonts w:hint="eastAsia" w:cs="仿宋_GB2312"/>
          <w:color w:val="auto"/>
          <w:sz w:val="24"/>
          <w:highlight w:val="none"/>
        </w:rPr>
        <w:t>2.4详细评审</w:t>
      </w:r>
      <w:r>
        <w:rPr>
          <w:rFonts w:hint="eastAsia" w:cs="仿宋_GB2312"/>
          <w:color w:val="auto"/>
          <w:spacing w:val="-5"/>
          <w:sz w:val="24"/>
          <w:highlight w:val="none"/>
        </w:rPr>
        <w:t>；</w:t>
      </w:r>
    </w:p>
    <w:p w14:paraId="152DE9B8">
      <w:pPr>
        <w:spacing w:line="440" w:lineRule="exact"/>
        <w:ind w:firstLine="421"/>
        <w:rPr>
          <w:rFonts w:cs="仿宋_GB2312"/>
          <w:color w:val="auto"/>
          <w:sz w:val="24"/>
          <w:highlight w:val="none"/>
        </w:rPr>
      </w:pPr>
      <w:r>
        <w:rPr>
          <w:rFonts w:hint="eastAsia" w:cs="仿宋_GB2312"/>
          <w:color w:val="auto"/>
          <w:spacing w:val="3"/>
          <w:sz w:val="24"/>
          <w:highlight w:val="none"/>
        </w:rPr>
        <w:t xml:space="preserve">2.5 </w:t>
      </w:r>
      <w:r>
        <w:rPr>
          <w:rFonts w:hint="eastAsia" w:cs="仿宋_GB2312"/>
          <w:color w:val="auto"/>
          <w:spacing w:val="5"/>
          <w:sz w:val="24"/>
          <w:highlight w:val="none"/>
        </w:rPr>
        <w:t>投标文</w:t>
      </w:r>
      <w:r>
        <w:rPr>
          <w:rFonts w:hint="eastAsia" w:cs="仿宋_GB2312"/>
          <w:color w:val="auto"/>
          <w:spacing w:val="4"/>
          <w:sz w:val="24"/>
          <w:highlight w:val="none"/>
        </w:rPr>
        <w:t>件澄清</w:t>
      </w:r>
      <w:r>
        <w:rPr>
          <w:rFonts w:hint="eastAsia" w:cs="仿宋_GB2312"/>
          <w:color w:val="auto"/>
          <w:spacing w:val="5"/>
          <w:sz w:val="24"/>
          <w:highlight w:val="none"/>
        </w:rPr>
        <w:t>、</w:t>
      </w:r>
      <w:r>
        <w:rPr>
          <w:rFonts w:hint="eastAsia" w:cs="仿宋_GB2312"/>
          <w:color w:val="auto"/>
          <w:spacing w:val="4"/>
          <w:sz w:val="24"/>
          <w:highlight w:val="none"/>
        </w:rPr>
        <w:t>报价修正</w:t>
      </w:r>
      <w:r>
        <w:rPr>
          <w:rFonts w:hint="eastAsia" w:cs="仿宋_GB2312"/>
          <w:color w:val="auto"/>
          <w:spacing w:val="5"/>
          <w:sz w:val="24"/>
          <w:highlight w:val="none"/>
        </w:rPr>
        <w:t>；</w:t>
      </w:r>
    </w:p>
    <w:p w14:paraId="1D6BFC41">
      <w:pPr>
        <w:spacing w:line="440" w:lineRule="exact"/>
        <w:ind w:firstLine="421"/>
        <w:rPr>
          <w:rFonts w:cs="仿宋_GB2312"/>
          <w:color w:val="auto"/>
          <w:sz w:val="24"/>
          <w:highlight w:val="none"/>
        </w:rPr>
      </w:pPr>
      <w:r>
        <w:rPr>
          <w:rFonts w:hint="eastAsia" w:cs="仿宋_GB2312"/>
          <w:color w:val="auto"/>
          <w:spacing w:val="3"/>
          <w:sz w:val="24"/>
          <w:highlight w:val="none"/>
        </w:rPr>
        <w:t xml:space="preserve">2.6 </w:t>
      </w:r>
      <w:r>
        <w:rPr>
          <w:rFonts w:hint="eastAsia" w:cs="仿宋_GB2312"/>
          <w:color w:val="auto"/>
          <w:spacing w:val="4"/>
          <w:sz w:val="24"/>
          <w:highlight w:val="none"/>
        </w:rPr>
        <w:t>排序与推荐中标</w:t>
      </w:r>
      <w:r>
        <w:rPr>
          <w:rFonts w:hint="eastAsia" w:cs="仿宋_GB2312"/>
          <w:color w:val="auto"/>
          <w:spacing w:val="3"/>
          <w:sz w:val="24"/>
          <w:highlight w:val="none"/>
        </w:rPr>
        <w:t>候选人</w:t>
      </w:r>
      <w:r>
        <w:rPr>
          <w:rFonts w:hint="eastAsia" w:cs="仿宋_GB2312"/>
          <w:color w:val="auto"/>
          <w:spacing w:val="5"/>
          <w:sz w:val="24"/>
          <w:highlight w:val="none"/>
        </w:rPr>
        <w:t>；</w:t>
      </w:r>
    </w:p>
    <w:p w14:paraId="52B91D3C">
      <w:pPr>
        <w:spacing w:line="440" w:lineRule="exact"/>
        <w:ind w:firstLine="421"/>
        <w:rPr>
          <w:rFonts w:cs="仿宋_GB2312"/>
          <w:color w:val="auto"/>
          <w:sz w:val="24"/>
          <w:highlight w:val="none"/>
        </w:rPr>
      </w:pPr>
      <w:r>
        <w:rPr>
          <w:rFonts w:hint="eastAsia" w:cs="仿宋_GB2312"/>
          <w:color w:val="auto"/>
          <w:spacing w:val="2"/>
          <w:sz w:val="24"/>
          <w:highlight w:val="none"/>
        </w:rPr>
        <w:t xml:space="preserve">2.7 </w:t>
      </w:r>
      <w:r>
        <w:rPr>
          <w:rFonts w:hint="eastAsia" w:cs="仿宋_GB2312"/>
          <w:color w:val="auto"/>
          <w:spacing w:val="1"/>
          <w:sz w:val="24"/>
          <w:highlight w:val="none"/>
        </w:rPr>
        <w:t>完成评标报告</w:t>
      </w:r>
      <w:r>
        <w:rPr>
          <w:rFonts w:hint="eastAsia" w:cs="仿宋_GB2312"/>
          <w:color w:val="auto"/>
          <w:spacing w:val="3"/>
          <w:sz w:val="24"/>
          <w:highlight w:val="none"/>
        </w:rPr>
        <w:t>。</w:t>
      </w:r>
    </w:p>
    <w:p w14:paraId="22A3558C">
      <w:pPr>
        <w:pStyle w:val="4"/>
        <w:spacing w:before="140" w:after="140" w:line="360" w:lineRule="auto"/>
        <w:jc w:val="center"/>
        <w:rPr>
          <w:rFonts w:ascii="Times New Roman" w:hAnsi="Times New Roman" w:eastAsia="仿宋_GB2312" w:cs="仿宋_GB2312"/>
          <w:color w:val="auto"/>
          <w:sz w:val="24"/>
          <w:szCs w:val="24"/>
          <w:highlight w:val="none"/>
        </w:rPr>
      </w:pPr>
      <w:bookmarkStart w:id="110" w:name="_Toc17379"/>
      <w:r>
        <w:rPr>
          <w:rFonts w:hint="eastAsia" w:ascii="Times New Roman" w:hAnsi="Times New Roman" w:eastAsia="仿宋_GB2312" w:cs="仿宋_GB2312"/>
          <w:color w:val="auto"/>
          <w:sz w:val="24"/>
          <w:szCs w:val="24"/>
          <w:highlight w:val="none"/>
        </w:rPr>
        <w:t>3、资格审查</w:t>
      </w:r>
      <w:bookmarkEnd w:id="110"/>
    </w:p>
    <w:p w14:paraId="6F15B206">
      <w:pPr>
        <w:spacing w:line="440" w:lineRule="exact"/>
        <w:ind w:right="2" w:firstLine="423"/>
        <w:rPr>
          <w:rFonts w:cs="仿宋_GB2312"/>
          <w:color w:val="auto"/>
          <w:sz w:val="24"/>
          <w:highlight w:val="none"/>
        </w:rPr>
      </w:pPr>
      <w:r>
        <w:rPr>
          <w:rFonts w:hint="eastAsia" w:cs="仿宋_GB2312"/>
          <w:color w:val="auto"/>
          <w:spacing w:val="6"/>
          <w:sz w:val="24"/>
          <w:highlight w:val="none"/>
        </w:rPr>
        <w:t xml:space="preserve">3.1 </w:t>
      </w:r>
      <w:r>
        <w:rPr>
          <w:rFonts w:hint="eastAsia" w:cs="仿宋_GB2312"/>
          <w:color w:val="auto"/>
          <w:spacing w:val="11"/>
          <w:sz w:val="24"/>
          <w:highlight w:val="none"/>
        </w:rPr>
        <w:t>评标委员会按照招标文件的要求和规定，对投标人的投</w:t>
      </w:r>
      <w:r>
        <w:rPr>
          <w:rFonts w:hint="eastAsia" w:cs="仿宋_GB2312"/>
          <w:color w:val="auto"/>
          <w:spacing w:val="10"/>
          <w:sz w:val="24"/>
          <w:highlight w:val="none"/>
        </w:rPr>
        <w:t>标资格进行审查</w:t>
      </w:r>
      <w:r>
        <w:rPr>
          <w:rFonts w:hint="eastAsia" w:cs="仿宋_GB2312"/>
          <w:color w:val="auto"/>
          <w:spacing w:val="11"/>
          <w:sz w:val="24"/>
          <w:highlight w:val="none"/>
        </w:rPr>
        <w:t>。</w:t>
      </w:r>
      <w:r>
        <w:rPr>
          <w:rFonts w:hint="eastAsia" w:cs="仿宋_GB2312"/>
          <w:color w:val="auto"/>
          <w:spacing w:val="10"/>
          <w:sz w:val="24"/>
          <w:highlight w:val="none"/>
        </w:rPr>
        <w:t>投标人存在以下情形</w:t>
      </w:r>
      <w:r>
        <w:rPr>
          <w:rFonts w:hint="eastAsia" w:cs="仿宋_GB2312"/>
          <w:color w:val="auto"/>
          <w:spacing w:val="9"/>
          <w:sz w:val="24"/>
          <w:highlight w:val="none"/>
        </w:rPr>
        <w:t>之一的</w:t>
      </w:r>
      <w:r>
        <w:rPr>
          <w:rFonts w:hint="eastAsia" w:cs="仿宋_GB2312"/>
          <w:color w:val="auto"/>
          <w:spacing w:val="11"/>
          <w:sz w:val="24"/>
          <w:highlight w:val="none"/>
        </w:rPr>
        <w:t>，</w:t>
      </w:r>
      <w:r>
        <w:rPr>
          <w:rFonts w:hint="eastAsia" w:cs="仿宋_GB2312"/>
          <w:color w:val="auto"/>
          <w:spacing w:val="9"/>
          <w:sz w:val="24"/>
          <w:highlight w:val="none"/>
        </w:rPr>
        <w:t>资格审查不予通过</w:t>
      </w:r>
      <w:r>
        <w:rPr>
          <w:rFonts w:hint="eastAsia" w:cs="仿宋_GB2312"/>
          <w:color w:val="auto"/>
          <w:spacing w:val="11"/>
          <w:sz w:val="24"/>
          <w:highlight w:val="none"/>
        </w:rPr>
        <w:t>，</w:t>
      </w:r>
      <w:r>
        <w:rPr>
          <w:rFonts w:hint="eastAsia" w:cs="仿宋_GB2312"/>
          <w:color w:val="auto"/>
          <w:spacing w:val="9"/>
          <w:sz w:val="24"/>
          <w:highlight w:val="none"/>
        </w:rPr>
        <w:t>否决其投标</w:t>
      </w:r>
      <w:r>
        <w:rPr>
          <w:rFonts w:hint="eastAsia" w:cs="仿宋_GB2312"/>
          <w:color w:val="auto"/>
          <w:spacing w:val="11"/>
          <w:sz w:val="24"/>
          <w:highlight w:val="none"/>
        </w:rPr>
        <w:t>，</w:t>
      </w:r>
      <w:r>
        <w:rPr>
          <w:rFonts w:hint="eastAsia" w:cs="仿宋_GB2312"/>
          <w:color w:val="auto"/>
          <w:spacing w:val="9"/>
          <w:sz w:val="24"/>
          <w:highlight w:val="none"/>
        </w:rPr>
        <w:t>不再进行后续评审</w:t>
      </w:r>
      <w:r>
        <w:rPr>
          <w:rFonts w:hint="eastAsia" w:cs="仿宋_GB2312"/>
          <w:color w:val="auto"/>
          <w:spacing w:val="11"/>
          <w:sz w:val="24"/>
          <w:highlight w:val="none"/>
        </w:rPr>
        <w:t>：</w:t>
      </w:r>
    </w:p>
    <w:p w14:paraId="2E5B8C0A">
      <w:pPr>
        <w:spacing w:line="440" w:lineRule="exact"/>
        <w:ind w:firstLine="429"/>
        <w:rPr>
          <w:rFonts w:cs="仿宋_GB2312"/>
          <w:bCs/>
          <w:color w:val="auto"/>
          <w:sz w:val="24"/>
          <w:highlight w:val="none"/>
          <w:u w:val="single"/>
        </w:rPr>
      </w:pPr>
      <w:r>
        <w:rPr>
          <w:rFonts w:hint="eastAsia" w:cs="仿宋_GB2312"/>
          <w:bCs/>
          <w:color w:val="auto"/>
          <w:spacing w:val="9"/>
          <w:sz w:val="24"/>
          <w:highlight w:val="none"/>
          <w:u w:val="single"/>
        </w:rPr>
        <w:t>（</w:t>
      </w:r>
      <w:r>
        <w:rPr>
          <w:rFonts w:hint="eastAsia" w:cs="仿宋_GB2312"/>
          <w:bCs/>
          <w:color w:val="auto"/>
          <w:spacing w:val="5"/>
          <w:sz w:val="24"/>
          <w:highlight w:val="none"/>
          <w:u w:val="single"/>
        </w:rPr>
        <w:t>1</w:t>
      </w:r>
      <w:r>
        <w:rPr>
          <w:rFonts w:hint="eastAsia" w:cs="仿宋_GB2312"/>
          <w:bCs/>
          <w:color w:val="auto"/>
          <w:spacing w:val="10"/>
          <w:sz w:val="24"/>
          <w:highlight w:val="none"/>
          <w:u w:val="single"/>
        </w:rPr>
        <w:t>）</w:t>
      </w:r>
      <w:r>
        <w:rPr>
          <w:rFonts w:hint="eastAsia" w:cs="仿宋_GB2312"/>
          <w:bCs/>
          <w:color w:val="auto"/>
          <w:spacing w:val="9"/>
          <w:sz w:val="24"/>
          <w:highlight w:val="none"/>
          <w:u w:val="single"/>
        </w:rPr>
        <w:t>投标人不满足招标公告中载明的投</w:t>
      </w:r>
      <w:r>
        <w:rPr>
          <w:rFonts w:hint="eastAsia" w:cs="仿宋_GB2312"/>
          <w:bCs/>
          <w:color w:val="auto"/>
          <w:spacing w:val="8"/>
          <w:sz w:val="24"/>
          <w:highlight w:val="none"/>
          <w:u w:val="single"/>
        </w:rPr>
        <w:t>标人资格条件的</w:t>
      </w:r>
      <w:r>
        <w:rPr>
          <w:rFonts w:hint="eastAsia" w:cs="仿宋_GB2312"/>
          <w:bCs/>
          <w:color w:val="auto"/>
          <w:spacing w:val="10"/>
          <w:sz w:val="24"/>
          <w:highlight w:val="none"/>
          <w:u w:val="single"/>
        </w:rPr>
        <w:t>；</w:t>
      </w:r>
    </w:p>
    <w:p w14:paraId="091818DA">
      <w:pPr>
        <w:spacing w:line="440" w:lineRule="exact"/>
        <w:ind w:firstLine="429"/>
        <w:rPr>
          <w:rFonts w:cs="仿宋_GB2312"/>
          <w:bCs/>
          <w:color w:val="auto"/>
          <w:spacing w:val="10"/>
          <w:sz w:val="24"/>
          <w:highlight w:val="none"/>
          <w:u w:val="single"/>
        </w:rPr>
      </w:pPr>
      <w:r>
        <w:rPr>
          <w:rFonts w:hint="eastAsia" w:cs="仿宋_GB2312"/>
          <w:bCs/>
          <w:color w:val="auto"/>
          <w:spacing w:val="9"/>
          <w:sz w:val="24"/>
          <w:highlight w:val="none"/>
          <w:u w:val="single"/>
        </w:rPr>
        <w:t>（</w:t>
      </w:r>
      <w:r>
        <w:rPr>
          <w:rFonts w:hint="eastAsia" w:cs="仿宋_GB2312"/>
          <w:bCs/>
          <w:color w:val="auto"/>
          <w:spacing w:val="6"/>
          <w:sz w:val="24"/>
          <w:highlight w:val="none"/>
          <w:u w:val="single"/>
        </w:rPr>
        <w:t>2</w:t>
      </w:r>
      <w:r>
        <w:rPr>
          <w:rFonts w:hint="eastAsia" w:cs="仿宋_GB2312"/>
          <w:bCs/>
          <w:color w:val="auto"/>
          <w:spacing w:val="10"/>
          <w:sz w:val="24"/>
          <w:highlight w:val="none"/>
          <w:u w:val="single"/>
        </w:rPr>
        <w:t>）</w:t>
      </w:r>
      <w:r>
        <w:rPr>
          <w:rFonts w:hint="eastAsia" w:cs="仿宋_GB2312"/>
          <w:bCs/>
          <w:color w:val="auto"/>
          <w:spacing w:val="9"/>
          <w:sz w:val="24"/>
          <w:highlight w:val="none"/>
          <w:u w:val="single"/>
        </w:rPr>
        <w:t>存在法律</w:t>
      </w:r>
      <w:r>
        <w:rPr>
          <w:rFonts w:hint="eastAsia" w:cs="仿宋_GB2312"/>
          <w:bCs/>
          <w:color w:val="auto"/>
          <w:spacing w:val="10"/>
          <w:sz w:val="24"/>
          <w:highlight w:val="none"/>
          <w:u w:val="single"/>
        </w:rPr>
        <w:t>、</w:t>
      </w:r>
      <w:r>
        <w:rPr>
          <w:rFonts w:hint="eastAsia" w:cs="仿宋_GB2312"/>
          <w:bCs/>
          <w:color w:val="auto"/>
          <w:spacing w:val="9"/>
          <w:sz w:val="24"/>
          <w:highlight w:val="none"/>
          <w:u w:val="single"/>
        </w:rPr>
        <w:t>法规规定</w:t>
      </w:r>
      <w:r>
        <w:rPr>
          <w:rFonts w:hint="eastAsia" w:cs="仿宋_GB2312"/>
          <w:bCs/>
          <w:color w:val="auto"/>
          <w:spacing w:val="8"/>
          <w:sz w:val="24"/>
          <w:highlight w:val="none"/>
          <w:u w:val="single"/>
        </w:rPr>
        <w:t>的其他否决投标情形的</w:t>
      </w:r>
      <w:r>
        <w:rPr>
          <w:rFonts w:hint="eastAsia" w:cs="仿宋_GB2312"/>
          <w:bCs/>
          <w:color w:val="auto"/>
          <w:spacing w:val="10"/>
          <w:sz w:val="24"/>
          <w:highlight w:val="none"/>
          <w:u w:val="single"/>
        </w:rPr>
        <w:t>；</w:t>
      </w:r>
    </w:p>
    <w:p w14:paraId="7C7E2607">
      <w:pPr>
        <w:spacing w:line="440" w:lineRule="exact"/>
        <w:ind w:left="1" w:firstLine="421"/>
        <w:rPr>
          <w:rFonts w:cs="仿宋_GB2312"/>
          <w:color w:val="auto"/>
          <w:spacing w:val="4"/>
          <w:sz w:val="24"/>
          <w:highlight w:val="none"/>
        </w:rPr>
      </w:pPr>
      <w:r>
        <w:rPr>
          <w:rFonts w:hint="eastAsia" w:cs="仿宋_GB2312"/>
          <w:color w:val="auto"/>
          <w:spacing w:val="6"/>
          <w:sz w:val="24"/>
          <w:highlight w:val="none"/>
        </w:rPr>
        <w:t xml:space="preserve">3.2 </w:t>
      </w:r>
      <w:r>
        <w:rPr>
          <w:rFonts w:hint="eastAsia" w:cs="仿宋_GB2312"/>
          <w:color w:val="auto"/>
          <w:spacing w:val="11"/>
          <w:sz w:val="24"/>
          <w:highlight w:val="none"/>
        </w:rPr>
        <w:t>资格审查过程中，评标委员会可以要求投标人提交资格审查所</w:t>
      </w:r>
      <w:r>
        <w:rPr>
          <w:rFonts w:hint="eastAsia" w:cs="仿宋_GB2312"/>
          <w:color w:val="auto"/>
          <w:spacing w:val="10"/>
          <w:sz w:val="24"/>
          <w:highlight w:val="none"/>
        </w:rPr>
        <w:t>需的有关证明的原件</w:t>
      </w:r>
      <w:r>
        <w:rPr>
          <w:rFonts w:hint="eastAsia" w:cs="仿宋_GB2312"/>
          <w:color w:val="auto"/>
          <w:spacing w:val="11"/>
          <w:sz w:val="24"/>
          <w:highlight w:val="none"/>
        </w:rPr>
        <w:t>，</w:t>
      </w:r>
      <w:r>
        <w:rPr>
          <w:rFonts w:hint="eastAsia" w:cs="仿宋_GB2312"/>
          <w:color w:val="auto"/>
          <w:spacing w:val="10"/>
          <w:sz w:val="24"/>
          <w:highlight w:val="none"/>
        </w:rPr>
        <w:t>以便</w:t>
      </w:r>
      <w:r>
        <w:rPr>
          <w:rFonts w:hint="eastAsia" w:cs="仿宋_GB2312"/>
          <w:color w:val="auto"/>
          <w:spacing w:val="3"/>
          <w:sz w:val="24"/>
          <w:highlight w:val="none"/>
        </w:rPr>
        <w:t>核验</w:t>
      </w:r>
      <w:r>
        <w:rPr>
          <w:rFonts w:hint="eastAsia" w:cs="仿宋_GB2312"/>
          <w:color w:val="auto"/>
          <w:spacing w:val="4"/>
          <w:sz w:val="24"/>
          <w:highlight w:val="none"/>
        </w:rPr>
        <w:t>。</w:t>
      </w:r>
    </w:p>
    <w:p w14:paraId="0E85DBA6">
      <w:pPr>
        <w:widowControl/>
        <w:spacing w:line="440" w:lineRule="exact"/>
        <w:ind w:right="2" w:firstLine="423"/>
        <w:jc w:val="left"/>
        <w:rPr>
          <w:rFonts w:cs="仿宋_GB2312"/>
          <w:color w:val="auto"/>
          <w:spacing w:val="11"/>
          <w:sz w:val="24"/>
          <w:highlight w:val="none"/>
        </w:rPr>
      </w:pPr>
      <w:r>
        <w:rPr>
          <w:rFonts w:hint="eastAsia" w:cs="仿宋_GB2312"/>
          <w:color w:val="auto"/>
          <w:spacing w:val="11"/>
          <w:sz w:val="24"/>
          <w:highlight w:val="none"/>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40482195">
      <w:pPr>
        <w:pStyle w:val="4"/>
        <w:spacing w:before="140" w:after="140" w:line="360" w:lineRule="auto"/>
        <w:jc w:val="center"/>
        <w:rPr>
          <w:rFonts w:ascii="Times New Roman" w:hAnsi="Times New Roman" w:eastAsia="仿宋_GB2312" w:cs="仿宋_GB2312"/>
          <w:color w:val="auto"/>
          <w:sz w:val="24"/>
          <w:szCs w:val="24"/>
          <w:highlight w:val="none"/>
        </w:rPr>
      </w:pPr>
      <w:bookmarkStart w:id="111" w:name="_Toc24797"/>
      <w:r>
        <w:rPr>
          <w:rFonts w:hint="eastAsia" w:ascii="Times New Roman" w:hAnsi="Times New Roman" w:eastAsia="仿宋_GB2312" w:cs="仿宋_GB2312"/>
          <w:color w:val="auto"/>
          <w:sz w:val="24"/>
          <w:szCs w:val="24"/>
          <w:highlight w:val="none"/>
        </w:rPr>
        <w:t>4、初步评审</w:t>
      </w:r>
      <w:bookmarkEnd w:id="111"/>
    </w:p>
    <w:p w14:paraId="2A3D2666">
      <w:pPr>
        <w:spacing w:line="440" w:lineRule="exact"/>
        <w:ind w:firstLine="418"/>
        <w:contextualSpacing/>
        <w:outlineLvl w:val="6"/>
        <w:rPr>
          <w:rFonts w:cs="仿宋_GB2312"/>
          <w:color w:val="auto"/>
          <w:sz w:val="24"/>
          <w:highlight w:val="none"/>
        </w:rPr>
      </w:pPr>
      <w:r>
        <w:rPr>
          <w:rFonts w:hint="eastAsia" w:cs="仿宋_GB2312"/>
          <w:color w:val="auto"/>
          <w:spacing w:val="1"/>
          <w:sz w:val="24"/>
          <w:highlight w:val="none"/>
        </w:rPr>
        <w:t xml:space="preserve">4.1 </w:t>
      </w:r>
      <w:r>
        <w:rPr>
          <w:rFonts w:hint="eastAsia" w:cs="仿宋_GB2312"/>
          <w:color w:val="auto"/>
          <w:spacing w:val="2"/>
          <w:sz w:val="24"/>
          <w:highlight w:val="none"/>
        </w:rPr>
        <w:t>符合性审</w:t>
      </w:r>
      <w:r>
        <w:rPr>
          <w:rFonts w:hint="eastAsia" w:cs="仿宋_GB2312"/>
          <w:color w:val="auto"/>
          <w:spacing w:val="1"/>
          <w:sz w:val="24"/>
          <w:highlight w:val="none"/>
        </w:rPr>
        <w:t>查</w:t>
      </w:r>
    </w:p>
    <w:p w14:paraId="06F6E5A9">
      <w:pPr>
        <w:spacing w:line="440" w:lineRule="exact"/>
        <w:ind w:firstLine="418"/>
        <w:contextualSpacing/>
        <w:rPr>
          <w:rFonts w:cs="仿宋_GB2312"/>
          <w:color w:val="auto"/>
          <w:sz w:val="24"/>
          <w:highlight w:val="none"/>
        </w:rPr>
      </w:pPr>
      <w:r>
        <w:rPr>
          <w:rFonts w:hint="eastAsia" w:cs="仿宋_GB2312"/>
          <w:color w:val="auto"/>
          <w:spacing w:val="11"/>
          <w:sz w:val="24"/>
          <w:highlight w:val="none"/>
        </w:rPr>
        <w:t>评标委员会应当对通过资格审查的投标人的投标文件进</w:t>
      </w:r>
      <w:r>
        <w:rPr>
          <w:rFonts w:hint="eastAsia" w:cs="仿宋_GB2312"/>
          <w:color w:val="auto"/>
          <w:spacing w:val="10"/>
          <w:sz w:val="24"/>
          <w:highlight w:val="none"/>
        </w:rPr>
        <w:t>行符合性审查</w:t>
      </w:r>
      <w:r>
        <w:rPr>
          <w:rFonts w:hint="eastAsia" w:cs="仿宋_GB2312"/>
          <w:color w:val="auto"/>
          <w:spacing w:val="11"/>
          <w:sz w:val="24"/>
          <w:highlight w:val="none"/>
        </w:rPr>
        <w:t>。</w:t>
      </w:r>
      <w:r>
        <w:rPr>
          <w:rFonts w:hint="eastAsia" w:cs="仿宋_GB2312"/>
          <w:color w:val="auto"/>
          <w:spacing w:val="10"/>
          <w:sz w:val="24"/>
          <w:highlight w:val="none"/>
        </w:rPr>
        <w:t>投标人存在以下情形之</w:t>
      </w:r>
      <w:r>
        <w:rPr>
          <w:rFonts w:hint="eastAsia" w:cs="仿宋_GB2312"/>
          <w:color w:val="auto"/>
          <w:spacing w:val="9"/>
          <w:position w:val="2"/>
          <w:sz w:val="24"/>
          <w:highlight w:val="none"/>
        </w:rPr>
        <w:t>一</w:t>
      </w:r>
      <w:r>
        <w:rPr>
          <w:rFonts w:hint="eastAsia" w:cs="仿宋_GB2312"/>
          <w:color w:val="auto"/>
          <w:spacing w:val="12"/>
          <w:position w:val="2"/>
          <w:sz w:val="24"/>
          <w:highlight w:val="none"/>
        </w:rPr>
        <w:t>，</w:t>
      </w:r>
      <w:r>
        <w:rPr>
          <w:rFonts w:hint="eastAsia" w:cs="仿宋_GB2312"/>
          <w:color w:val="auto"/>
          <w:spacing w:val="9"/>
          <w:position w:val="2"/>
          <w:sz w:val="24"/>
          <w:highlight w:val="none"/>
        </w:rPr>
        <w:t>符合性审查不予通过</w:t>
      </w:r>
      <w:r>
        <w:rPr>
          <w:rFonts w:hint="eastAsia" w:cs="仿宋_GB2312"/>
          <w:color w:val="auto"/>
          <w:spacing w:val="12"/>
          <w:position w:val="2"/>
          <w:sz w:val="24"/>
          <w:highlight w:val="none"/>
        </w:rPr>
        <w:t>，</w:t>
      </w:r>
      <w:r>
        <w:rPr>
          <w:rFonts w:hint="eastAsia" w:cs="仿宋_GB2312"/>
          <w:color w:val="auto"/>
          <w:spacing w:val="9"/>
          <w:position w:val="2"/>
          <w:sz w:val="24"/>
          <w:highlight w:val="none"/>
        </w:rPr>
        <w:t>否决其投</w:t>
      </w:r>
      <w:r>
        <w:rPr>
          <w:rFonts w:hint="eastAsia" w:cs="仿宋_GB2312"/>
          <w:color w:val="auto"/>
          <w:spacing w:val="8"/>
          <w:position w:val="2"/>
          <w:sz w:val="24"/>
          <w:highlight w:val="none"/>
        </w:rPr>
        <w:t>标</w:t>
      </w:r>
      <w:r>
        <w:rPr>
          <w:rFonts w:hint="eastAsia" w:cs="仿宋_GB2312"/>
          <w:color w:val="auto"/>
          <w:spacing w:val="12"/>
          <w:position w:val="2"/>
          <w:sz w:val="24"/>
          <w:highlight w:val="none"/>
        </w:rPr>
        <w:t>，</w:t>
      </w:r>
      <w:r>
        <w:rPr>
          <w:rFonts w:hint="eastAsia" w:cs="仿宋_GB2312"/>
          <w:color w:val="auto"/>
          <w:spacing w:val="8"/>
          <w:position w:val="2"/>
          <w:sz w:val="24"/>
          <w:highlight w:val="none"/>
        </w:rPr>
        <w:t>不再进行后续评审</w:t>
      </w:r>
      <w:r>
        <w:rPr>
          <w:rFonts w:hint="eastAsia" w:cs="仿宋_GB2312"/>
          <w:color w:val="auto"/>
          <w:spacing w:val="12"/>
          <w:position w:val="2"/>
          <w:sz w:val="24"/>
          <w:highlight w:val="none"/>
        </w:rPr>
        <w:t>：</w:t>
      </w:r>
    </w:p>
    <w:p w14:paraId="48D52643">
      <w:pPr>
        <w:spacing w:line="360" w:lineRule="auto"/>
        <w:ind w:firstLine="480" w:firstLineChars="200"/>
        <w:rPr>
          <w:rFonts w:cs="仿宋_GB2312"/>
          <w:color w:val="auto"/>
          <w:sz w:val="24"/>
          <w:highlight w:val="none"/>
          <w:u w:val="single"/>
          <w:lang w:val="zh-CN"/>
        </w:rPr>
      </w:pPr>
      <w:r>
        <w:rPr>
          <w:rFonts w:hint="eastAsia" w:cs="仿宋_GB2312"/>
          <w:color w:val="auto"/>
          <w:sz w:val="24"/>
          <w:highlight w:val="none"/>
          <w:u w:val="single"/>
          <w:lang w:val="zh-CN"/>
        </w:rPr>
        <w:t>（1）投标文件未按招标文件的要求签署和盖章的；</w:t>
      </w:r>
    </w:p>
    <w:p w14:paraId="3429B614">
      <w:pPr>
        <w:spacing w:line="360" w:lineRule="auto"/>
        <w:ind w:firstLine="480" w:firstLineChars="200"/>
        <w:rPr>
          <w:rFonts w:cs="仿宋_GB2312"/>
          <w:color w:val="auto"/>
          <w:sz w:val="24"/>
          <w:highlight w:val="none"/>
          <w:u w:val="single"/>
          <w:lang w:val="zh-CN"/>
        </w:rPr>
      </w:pPr>
      <w:r>
        <w:rPr>
          <w:rFonts w:hint="eastAsia" w:cs="仿宋_GB2312"/>
          <w:color w:val="auto"/>
          <w:sz w:val="24"/>
          <w:highlight w:val="none"/>
          <w:u w:val="single"/>
          <w:lang w:val="zh-CN"/>
        </w:rPr>
        <w:t>（2）投标文件中未提供营业执照（事业单位法人证书、社会团体法人登记证书或其他组织登记证明文件）的；</w:t>
      </w:r>
    </w:p>
    <w:p w14:paraId="3F3AD9A9">
      <w:pPr>
        <w:spacing w:line="360" w:lineRule="auto"/>
        <w:ind w:firstLine="480" w:firstLineChars="200"/>
        <w:rPr>
          <w:rFonts w:cs="仿宋_GB2312"/>
          <w:color w:val="auto"/>
          <w:sz w:val="24"/>
          <w:highlight w:val="none"/>
          <w:u w:val="single"/>
          <w:lang w:val="zh-CN"/>
        </w:rPr>
      </w:pPr>
      <w:r>
        <w:rPr>
          <w:rFonts w:hint="eastAsia" w:cs="仿宋_GB2312"/>
          <w:color w:val="auto"/>
          <w:sz w:val="24"/>
          <w:highlight w:val="none"/>
          <w:u w:val="single"/>
          <w:lang w:val="zh-CN"/>
        </w:rPr>
        <w:t>（</w:t>
      </w:r>
      <w:r>
        <w:rPr>
          <w:rFonts w:hint="eastAsia" w:cs="仿宋_GB2312"/>
          <w:color w:val="auto"/>
          <w:sz w:val="24"/>
          <w:highlight w:val="none"/>
          <w:u w:val="single"/>
        </w:rPr>
        <w:t>3</w:t>
      </w:r>
      <w:r>
        <w:rPr>
          <w:rFonts w:hint="eastAsia" w:cs="仿宋_GB2312"/>
          <w:color w:val="auto"/>
          <w:sz w:val="24"/>
          <w:highlight w:val="none"/>
          <w:u w:val="single"/>
          <w:lang w:val="zh-CN"/>
        </w:rPr>
        <w:t>）投标人未按招标文件的要求递交投标保证金的；</w:t>
      </w:r>
    </w:p>
    <w:p w14:paraId="4FBCEB4E">
      <w:pPr>
        <w:spacing w:line="360" w:lineRule="auto"/>
        <w:ind w:firstLine="480" w:firstLineChars="200"/>
        <w:rPr>
          <w:rFonts w:cs="仿宋_GB2312"/>
          <w:color w:val="auto"/>
          <w:sz w:val="24"/>
          <w:highlight w:val="none"/>
          <w:u w:val="single"/>
          <w:lang w:val="zh-CN"/>
        </w:rPr>
      </w:pPr>
      <w:r>
        <w:rPr>
          <w:rFonts w:hint="eastAsia" w:cs="仿宋_GB2312"/>
          <w:color w:val="auto"/>
          <w:sz w:val="24"/>
          <w:highlight w:val="none"/>
          <w:u w:val="single"/>
          <w:lang w:val="zh-CN"/>
        </w:rPr>
        <w:t>（</w:t>
      </w:r>
      <w:r>
        <w:rPr>
          <w:rFonts w:hint="eastAsia" w:cs="仿宋_GB2312"/>
          <w:color w:val="auto"/>
          <w:sz w:val="24"/>
          <w:highlight w:val="none"/>
          <w:u w:val="single"/>
        </w:rPr>
        <w:t>4</w:t>
      </w:r>
      <w:r>
        <w:rPr>
          <w:rFonts w:hint="eastAsia" w:cs="仿宋_GB2312"/>
          <w:color w:val="auto"/>
          <w:sz w:val="24"/>
          <w:highlight w:val="none"/>
          <w:u w:val="single"/>
          <w:lang w:val="zh-CN"/>
        </w:rPr>
        <w:t>）组成联合体投标的，投标文件未附联合体各方共同投标协议的（</w:t>
      </w:r>
      <w:r>
        <w:rPr>
          <w:rFonts w:hint="eastAsia" w:cs="仿宋_GB2312"/>
          <w:color w:val="auto"/>
          <w:sz w:val="24"/>
          <w:highlight w:val="none"/>
          <w:u w:val="single"/>
        </w:rPr>
        <w:t>本项目不适用</w:t>
      </w:r>
      <w:r>
        <w:rPr>
          <w:rFonts w:hint="eastAsia" w:cs="仿宋_GB2312"/>
          <w:color w:val="auto"/>
          <w:sz w:val="24"/>
          <w:highlight w:val="none"/>
          <w:u w:val="single"/>
          <w:lang w:val="zh-CN"/>
        </w:rPr>
        <w:t>）；</w:t>
      </w:r>
    </w:p>
    <w:p w14:paraId="1D9BF10B">
      <w:pPr>
        <w:spacing w:line="360" w:lineRule="auto"/>
        <w:ind w:firstLine="480" w:firstLineChars="200"/>
        <w:rPr>
          <w:rFonts w:cs="仿宋_GB2312"/>
          <w:color w:val="auto"/>
          <w:sz w:val="24"/>
          <w:highlight w:val="none"/>
          <w:u w:val="single"/>
          <w:lang w:val="zh-CN"/>
        </w:rPr>
      </w:pPr>
      <w:r>
        <w:rPr>
          <w:rFonts w:hint="eastAsia" w:cs="仿宋_GB2312"/>
          <w:color w:val="auto"/>
          <w:sz w:val="24"/>
          <w:highlight w:val="none"/>
          <w:u w:val="single"/>
          <w:lang w:val="zh-CN"/>
        </w:rPr>
        <w:t>（5）投标文件不符合招标文件实质性要求（第三章“用户需求及技术要求”中具体条款用“▲”标注）的；</w:t>
      </w:r>
    </w:p>
    <w:p w14:paraId="027B0772">
      <w:pPr>
        <w:spacing w:line="360" w:lineRule="auto"/>
        <w:ind w:firstLine="480" w:firstLineChars="200"/>
        <w:rPr>
          <w:rFonts w:cs="仿宋_GB2312"/>
          <w:color w:val="auto"/>
          <w:sz w:val="24"/>
          <w:highlight w:val="none"/>
          <w:u w:val="single"/>
          <w:lang w:val="zh-CN"/>
        </w:rPr>
      </w:pPr>
      <w:r>
        <w:rPr>
          <w:rFonts w:hint="eastAsia" w:cs="仿宋_GB2312"/>
          <w:color w:val="auto"/>
          <w:sz w:val="24"/>
          <w:highlight w:val="none"/>
          <w:u w:val="single"/>
          <w:lang w:val="zh-CN"/>
        </w:rPr>
        <w:t>（6）同一投标人提交两个以上不同的投标文件或者投标报价，且投标文件中未声明哪一个有效的（招标文件要求提交备选投标的除外）；</w:t>
      </w:r>
    </w:p>
    <w:p w14:paraId="44D948BA">
      <w:pPr>
        <w:spacing w:line="360" w:lineRule="auto"/>
        <w:ind w:firstLine="480" w:firstLineChars="200"/>
        <w:rPr>
          <w:rFonts w:cs="仿宋_GB2312"/>
          <w:color w:val="auto"/>
          <w:sz w:val="24"/>
          <w:highlight w:val="none"/>
          <w:u w:val="single"/>
          <w:lang w:val="zh-CN"/>
        </w:rPr>
      </w:pPr>
      <w:r>
        <w:rPr>
          <w:rFonts w:hint="eastAsia" w:cs="仿宋_GB2312"/>
          <w:color w:val="auto"/>
          <w:sz w:val="24"/>
          <w:highlight w:val="none"/>
          <w:u w:val="single"/>
          <w:lang w:val="zh-CN"/>
        </w:rPr>
        <w:t>（7）投标报价超出招标文件规定的限价的；</w:t>
      </w:r>
    </w:p>
    <w:p w14:paraId="5EC7D6C5">
      <w:pPr>
        <w:spacing w:line="360" w:lineRule="auto"/>
        <w:ind w:firstLine="480" w:firstLineChars="200"/>
        <w:rPr>
          <w:rFonts w:cs="仿宋_GB2312"/>
          <w:color w:val="auto"/>
          <w:sz w:val="24"/>
          <w:highlight w:val="none"/>
          <w:u w:val="single"/>
          <w:lang w:val="zh-CN"/>
        </w:rPr>
      </w:pPr>
      <w:r>
        <w:rPr>
          <w:rFonts w:hint="eastAsia" w:cs="仿宋_GB2312"/>
          <w:color w:val="auto"/>
          <w:sz w:val="24"/>
          <w:highlight w:val="none"/>
          <w:u w:val="single"/>
          <w:lang w:val="zh-CN"/>
        </w:rPr>
        <w:t>（8）投标文件未按规定的格式（招标文件第五章“投标文件格式”）编制或内容不全或关键字迹模糊、无法辨认的；</w:t>
      </w:r>
    </w:p>
    <w:p w14:paraId="3387342F">
      <w:pPr>
        <w:spacing w:line="360" w:lineRule="auto"/>
        <w:ind w:firstLine="480" w:firstLineChars="200"/>
        <w:rPr>
          <w:rFonts w:cs="仿宋_GB2312"/>
          <w:color w:val="auto"/>
          <w:sz w:val="24"/>
          <w:highlight w:val="none"/>
          <w:u w:val="single"/>
          <w:lang w:val="zh-CN"/>
        </w:rPr>
      </w:pPr>
      <w:r>
        <w:rPr>
          <w:rFonts w:hint="eastAsia" w:cs="仿宋_GB2312"/>
          <w:color w:val="auto"/>
          <w:sz w:val="24"/>
          <w:highlight w:val="none"/>
          <w:u w:val="single"/>
          <w:lang w:val="zh-CN"/>
        </w:rPr>
        <w:t>（9）投标文件中承诺的投标有效期少于招标文件中载明的投标有效期的；</w:t>
      </w:r>
    </w:p>
    <w:p w14:paraId="64E9C923">
      <w:pPr>
        <w:spacing w:line="360" w:lineRule="auto"/>
        <w:ind w:firstLine="480" w:firstLineChars="200"/>
        <w:rPr>
          <w:rFonts w:cs="仿宋_GB2312"/>
          <w:color w:val="auto"/>
          <w:sz w:val="24"/>
          <w:highlight w:val="none"/>
          <w:u w:val="single"/>
          <w:lang w:val="zh-CN"/>
        </w:rPr>
      </w:pPr>
      <w:r>
        <w:rPr>
          <w:rFonts w:hint="eastAsia" w:cs="仿宋_GB2312"/>
          <w:color w:val="auto"/>
          <w:sz w:val="24"/>
          <w:highlight w:val="none"/>
          <w:u w:val="single"/>
          <w:lang w:val="zh-CN"/>
        </w:rPr>
        <w:t>（1</w:t>
      </w:r>
      <w:r>
        <w:rPr>
          <w:rFonts w:hint="eastAsia" w:cs="仿宋_GB2312"/>
          <w:color w:val="auto"/>
          <w:sz w:val="24"/>
          <w:highlight w:val="none"/>
          <w:u w:val="single"/>
        </w:rPr>
        <w:t>0</w:t>
      </w:r>
      <w:r>
        <w:rPr>
          <w:rFonts w:hint="eastAsia" w:cs="仿宋_GB2312"/>
          <w:color w:val="auto"/>
          <w:sz w:val="24"/>
          <w:highlight w:val="none"/>
          <w:u w:val="single"/>
          <w:lang w:val="zh-CN"/>
        </w:rPr>
        <w:t>）投标人根据招标文件规定及投标内容对招标人所作的任何合法承诺或响应存在与实际不符的；</w:t>
      </w:r>
    </w:p>
    <w:p w14:paraId="77D62A4A">
      <w:pPr>
        <w:spacing w:line="360" w:lineRule="auto"/>
        <w:ind w:firstLine="480" w:firstLineChars="200"/>
        <w:rPr>
          <w:rFonts w:cs="仿宋_GB2312"/>
          <w:color w:val="auto"/>
          <w:sz w:val="24"/>
          <w:highlight w:val="none"/>
          <w:u w:val="single"/>
          <w:lang w:val="zh-CN"/>
        </w:rPr>
      </w:pPr>
      <w:r>
        <w:rPr>
          <w:rFonts w:hint="eastAsia" w:cs="仿宋_GB2312"/>
          <w:color w:val="auto"/>
          <w:sz w:val="24"/>
          <w:highlight w:val="none"/>
          <w:lang w:val="zh-CN"/>
        </w:rPr>
        <w:t>（1</w:t>
      </w:r>
      <w:r>
        <w:rPr>
          <w:rFonts w:hint="eastAsia" w:cs="仿宋_GB2312"/>
          <w:color w:val="auto"/>
          <w:sz w:val="24"/>
          <w:highlight w:val="none"/>
        </w:rPr>
        <w:t>1</w:t>
      </w:r>
      <w:r>
        <w:rPr>
          <w:rFonts w:hint="eastAsia" w:cs="仿宋_GB2312"/>
          <w:color w:val="auto"/>
          <w:sz w:val="24"/>
          <w:highlight w:val="none"/>
          <w:lang w:val="zh-CN"/>
        </w:rPr>
        <w:t>）</w:t>
      </w:r>
      <w:r>
        <w:rPr>
          <w:rFonts w:hint="eastAsia" w:cs="仿宋_GB2312"/>
          <w:color w:val="auto"/>
          <w:sz w:val="24"/>
          <w:highlight w:val="none"/>
          <w:u w:val="single"/>
          <w:lang w:val="zh-CN"/>
        </w:rPr>
        <w:t>投标人对根据修正原则修正后的报价不予确认的；</w:t>
      </w:r>
    </w:p>
    <w:p w14:paraId="6E214C45">
      <w:pPr>
        <w:spacing w:line="360" w:lineRule="auto"/>
        <w:ind w:firstLine="480" w:firstLineChars="200"/>
        <w:rPr>
          <w:rFonts w:cs="仿宋_GB2312"/>
          <w:color w:val="auto"/>
          <w:sz w:val="24"/>
          <w:highlight w:val="none"/>
          <w:u w:val="single"/>
        </w:rPr>
      </w:pPr>
      <w:r>
        <w:rPr>
          <w:rFonts w:hint="eastAsia" w:cs="仿宋_GB2312"/>
          <w:color w:val="auto"/>
          <w:sz w:val="24"/>
          <w:highlight w:val="none"/>
          <w:u w:val="single"/>
        </w:rPr>
        <w:t>（12）存在法律、法规规定的其他否决投标情形的。</w:t>
      </w:r>
    </w:p>
    <w:p w14:paraId="0E77E8C8">
      <w:pPr>
        <w:spacing w:line="360" w:lineRule="auto"/>
        <w:ind w:firstLine="480" w:firstLineChars="200"/>
        <w:rPr>
          <w:rFonts w:cs="仿宋_GB2312"/>
          <w:color w:val="auto"/>
          <w:sz w:val="24"/>
          <w:highlight w:val="none"/>
          <w:u w:val="single"/>
        </w:rPr>
      </w:pPr>
      <w:r>
        <w:rPr>
          <w:rFonts w:hint="eastAsia" w:cs="仿宋_GB2312"/>
          <w:color w:val="auto"/>
          <w:sz w:val="24"/>
          <w:highlight w:val="none"/>
          <w:u w:val="single"/>
        </w:rPr>
        <w:t>（13）经评标委员会审核，投标人符合以下情形之一的，视为投标人串通投标的，其投标无效：</w:t>
      </w:r>
    </w:p>
    <w:p w14:paraId="292A01EC">
      <w:pPr>
        <w:spacing w:line="360" w:lineRule="auto"/>
        <w:ind w:firstLine="480" w:firstLineChars="200"/>
        <w:rPr>
          <w:rFonts w:cs="仿宋_GB2312"/>
          <w:color w:val="auto"/>
          <w:sz w:val="24"/>
          <w:highlight w:val="none"/>
          <w:u w:val="single"/>
        </w:rPr>
      </w:pPr>
      <w:r>
        <w:rPr>
          <w:rFonts w:hint="eastAsia" w:cs="仿宋_GB2312"/>
          <w:color w:val="auto"/>
          <w:sz w:val="24"/>
          <w:highlight w:val="none"/>
          <w:u w:val="single"/>
        </w:rPr>
        <w:t xml:space="preserve">①不同投标人的投标文件由同一单位或者个人编制； </w:t>
      </w:r>
    </w:p>
    <w:p w14:paraId="4B98763A">
      <w:pPr>
        <w:spacing w:line="360" w:lineRule="auto"/>
        <w:ind w:firstLine="480" w:firstLineChars="200"/>
        <w:rPr>
          <w:rFonts w:cs="仿宋_GB2312"/>
          <w:color w:val="auto"/>
          <w:sz w:val="24"/>
          <w:highlight w:val="none"/>
          <w:u w:val="single"/>
        </w:rPr>
      </w:pPr>
      <w:r>
        <w:rPr>
          <w:rFonts w:hint="eastAsia" w:cs="仿宋_GB2312"/>
          <w:color w:val="auto"/>
          <w:sz w:val="24"/>
          <w:highlight w:val="none"/>
          <w:u w:val="single"/>
        </w:rPr>
        <w:t xml:space="preserve">②不同投标人委托同一单位或者个人办理投标事宜； </w:t>
      </w:r>
    </w:p>
    <w:p w14:paraId="32FC7174">
      <w:pPr>
        <w:spacing w:line="360" w:lineRule="auto"/>
        <w:ind w:firstLine="480" w:firstLineChars="200"/>
        <w:rPr>
          <w:rFonts w:cs="仿宋_GB2312"/>
          <w:color w:val="auto"/>
          <w:sz w:val="24"/>
          <w:highlight w:val="none"/>
          <w:u w:val="single"/>
        </w:rPr>
      </w:pPr>
      <w:r>
        <w:rPr>
          <w:rFonts w:hint="eastAsia" w:cs="仿宋_GB2312"/>
          <w:color w:val="auto"/>
          <w:sz w:val="24"/>
          <w:highlight w:val="none"/>
          <w:u w:val="single"/>
        </w:rPr>
        <w:t xml:space="preserve">③不同投标人的投标文件载明的项目管理成员或者联系人员为同一人； </w:t>
      </w:r>
    </w:p>
    <w:p w14:paraId="19993593">
      <w:pPr>
        <w:spacing w:line="360" w:lineRule="auto"/>
        <w:ind w:firstLine="480" w:firstLineChars="200"/>
        <w:rPr>
          <w:rFonts w:cs="仿宋_GB2312"/>
          <w:color w:val="auto"/>
          <w:sz w:val="24"/>
          <w:highlight w:val="none"/>
          <w:u w:val="single"/>
        </w:rPr>
      </w:pPr>
      <w:r>
        <w:rPr>
          <w:rFonts w:hint="eastAsia" w:cs="仿宋_GB2312"/>
          <w:color w:val="auto"/>
          <w:sz w:val="24"/>
          <w:highlight w:val="none"/>
          <w:u w:val="single"/>
        </w:rPr>
        <w:t xml:space="preserve">④不同投标人的投标文件异常一致或者投标报价呈规律性差异； </w:t>
      </w:r>
    </w:p>
    <w:p w14:paraId="25A9185A">
      <w:pPr>
        <w:spacing w:line="360" w:lineRule="auto"/>
        <w:ind w:firstLine="480" w:firstLineChars="200"/>
        <w:rPr>
          <w:rFonts w:cs="仿宋_GB2312"/>
          <w:color w:val="auto"/>
          <w:sz w:val="24"/>
          <w:highlight w:val="none"/>
          <w:u w:val="single"/>
        </w:rPr>
      </w:pPr>
      <w:r>
        <w:rPr>
          <w:rFonts w:hint="eastAsia" w:cs="仿宋_GB2312"/>
          <w:color w:val="auto"/>
          <w:sz w:val="24"/>
          <w:highlight w:val="none"/>
          <w:u w:val="single"/>
        </w:rPr>
        <w:t xml:space="preserve">⑤不同投标人的投标文件相互混装； </w:t>
      </w:r>
    </w:p>
    <w:p w14:paraId="63180744">
      <w:pPr>
        <w:spacing w:line="360" w:lineRule="auto"/>
        <w:ind w:firstLine="480" w:firstLineChars="200"/>
        <w:rPr>
          <w:rFonts w:cs="仿宋_GB2312"/>
          <w:color w:val="auto"/>
          <w:sz w:val="24"/>
          <w:highlight w:val="none"/>
          <w:u w:val="single"/>
        </w:rPr>
      </w:pPr>
      <w:r>
        <w:rPr>
          <w:rFonts w:hint="eastAsia" w:cs="仿宋_GB2312"/>
          <w:color w:val="auto"/>
          <w:sz w:val="24"/>
          <w:highlight w:val="none"/>
          <w:u w:val="single"/>
        </w:rPr>
        <w:t>⑥不同投标人的投标保证金从同一单位或者个人的账户转出。</w:t>
      </w:r>
    </w:p>
    <w:p w14:paraId="2BDB9BFD">
      <w:pPr>
        <w:pStyle w:val="9"/>
        <w:ind w:firstLine="480" w:firstLineChars="200"/>
        <w:rPr>
          <w:rFonts w:eastAsia="仿宋_GB2312" w:cs="仿宋_GB2312"/>
          <w:color w:val="auto"/>
          <w:sz w:val="24"/>
          <w:szCs w:val="24"/>
          <w:highlight w:val="none"/>
          <w:u w:val="single"/>
        </w:rPr>
      </w:pPr>
      <w:r>
        <w:rPr>
          <w:rFonts w:hint="eastAsia" w:eastAsia="仿宋_GB2312" w:cs="仿宋_GB2312"/>
          <w:color w:val="auto"/>
          <w:sz w:val="24"/>
          <w:szCs w:val="24"/>
          <w:highlight w:val="none"/>
          <w:u w:val="single"/>
        </w:rPr>
        <w:t>（14）投标人拒不按照要求对投标文件进行澄清、说明、补正的。或评标委员会根据招标文件规定对投标文件的计算错误进行修正后，投标人不接受修正后的投标报价的；</w:t>
      </w:r>
    </w:p>
    <w:p w14:paraId="22FBFC0C">
      <w:pPr>
        <w:spacing w:line="360" w:lineRule="auto"/>
        <w:ind w:firstLine="484" w:firstLineChars="200"/>
        <w:rPr>
          <w:rFonts w:cs="仿宋_GB2312"/>
          <w:color w:val="auto"/>
          <w:spacing w:val="1"/>
          <w:sz w:val="24"/>
          <w:highlight w:val="none"/>
        </w:rPr>
      </w:pPr>
      <w:r>
        <w:rPr>
          <w:rFonts w:hint="eastAsia" w:cs="仿宋_GB2312"/>
          <w:color w:val="auto"/>
          <w:spacing w:val="1"/>
          <w:sz w:val="24"/>
          <w:highlight w:val="none"/>
        </w:rPr>
        <w:t xml:space="preserve">4.2 </w:t>
      </w:r>
      <w:r>
        <w:rPr>
          <w:rFonts w:hint="eastAsia" w:cs="仿宋_GB2312"/>
          <w:color w:val="auto"/>
          <w:spacing w:val="2"/>
          <w:sz w:val="24"/>
          <w:highlight w:val="none"/>
        </w:rPr>
        <w:t>有效标认</w:t>
      </w:r>
      <w:r>
        <w:rPr>
          <w:rFonts w:hint="eastAsia" w:cs="仿宋_GB2312"/>
          <w:color w:val="auto"/>
          <w:spacing w:val="1"/>
          <w:sz w:val="24"/>
          <w:highlight w:val="none"/>
        </w:rPr>
        <w:t>定</w:t>
      </w:r>
    </w:p>
    <w:p w14:paraId="3801289C">
      <w:pPr>
        <w:adjustRightInd w:val="0"/>
        <w:snapToGrid w:val="0"/>
        <w:spacing w:line="360" w:lineRule="auto"/>
        <w:ind w:firstLine="512" w:firstLineChars="200"/>
        <w:rPr>
          <w:rFonts w:cs="仿宋_GB2312"/>
          <w:bCs/>
          <w:color w:val="auto"/>
          <w:spacing w:val="9"/>
          <w:sz w:val="24"/>
          <w:highlight w:val="none"/>
          <w:u w:val="single"/>
        </w:rPr>
      </w:pPr>
      <w:r>
        <w:rPr>
          <w:rFonts w:hint="eastAsia" w:cs="仿宋_GB2312"/>
          <w:bCs/>
          <w:color w:val="auto"/>
          <w:spacing w:val="8"/>
          <w:sz w:val="24"/>
          <w:highlight w:val="none"/>
          <w:u w:val="single"/>
        </w:rPr>
        <w:t>通过资格审查和符合性审查的有效投标人不足</w:t>
      </w:r>
      <w:r>
        <w:rPr>
          <w:rFonts w:hint="eastAsia" w:cs="仿宋_GB2312"/>
          <w:bCs/>
          <w:color w:val="auto"/>
          <w:spacing w:val="5"/>
          <w:sz w:val="24"/>
          <w:highlight w:val="none"/>
          <w:u w:val="single"/>
        </w:rPr>
        <w:t>3家</w:t>
      </w:r>
      <w:r>
        <w:rPr>
          <w:rFonts w:hint="eastAsia" w:cs="仿宋_GB2312"/>
          <w:bCs/>
          <w:color w:val="auto"/>
          <w:spacing w:val="8"/>
          <w:sz w:val="24"/>
          <w:highlight w:val="none"/>
          <w:u w:val="single"/>
        </w:rPr>
        <w:t>的</w:t>
      </w:r>
      <w:r>
        <w:rPr>
          <w:rFonts w:hint="eastAsia" w:cs="仿宋_GB2312"/>
          <w:bCs/>
          <w:color w:val="auto"/>
          <w:spacing w:val="9"/>
          <w:sz w:val="24"/>
          <w:highlight w:val="none"/>
          <w:u w:val="single"/>
        </w:rPr>
        <w:t>，否决所有投标。</w:t>
      </w:r>
    </w:p>
    <w:p w14:paraId="1F7FB0C1">
      <w:pPr>
        <w:spacing w:line="360" w:lineRule="auto"/>
        <w:jc w:val="center"/>
        <w:rPr>
          <w:rFonts w:cs="仿宋_GB2312"/>
          <w:b/>
          <w:bCs/>
          <w:color w:val="auto"/>
          <w:sz w:val="24"/>
          <w:highlight w:val="none"/>
        </w:rPr>
      </w:pPr>
      <w:r>
        <w:rPr>
          <w:rFonts w:hint="eastAsia" w:cs="仿宋_GB2312"/>
          <w:b/>
          <w:bCs/>
          <w:color w:val="auto"/>
          <w:sz w:val="24"/>
          <w:highlight w:val="none"/>
        </w:rPr>
        <w:t>5、详细评审</w:t>
      </w:r>
    </w:p>
    <w:p w14:paraId="00ACABEB">
      <w:pPr>
        <w:adjustRightInd w:val="0"/>
        <w:snapToGrid w:val="0"/>
        <w:spacing w:line="360" w:lineRule="auto"/>
        <w:ind w:firstLine="482" w:firstLineChars="200"/>
        <w:rPr>
          <w:rFonts w:cs="仿宋_GB2312"/>
          <w:color w:val="auto"/>
          <w:sz w:val="24"/>
          <w:highlight w:val="none"/>
        </w:rPr>
      </w:pPr>
      <w:r>
        <w:rPr>
          <w:rFonts w:hint="eastAsia" w:cs="仿宋_GB2312"/>
          <w:b/>
          <w:bCs/>
          <w:snapToGrid w:val="0"/>
          <w:color w:val="auto"/>
          <w:sz w:val="24"/>
          <w:highlight w:val="none"/>
        </w:rPr>
        <w:t>5.1</w:t>
      </w:r>
      <w:r>
        <w:rPr>
          <w:rFonts w:hint="eastAsia" w:cs="仿宋_GB2312"/>
          <w:color w:val="auto"/>
          <w:sz w:val="24"/>
          <w:highlight w:val="none"/>
        </w:rPr>
        <w:t>评标委员会对通过初步评审的有效标的投标文件按如下“评分细则”进行详细评审：</w:t>
      </w:r>
    </w:p>
    <w:tbl>
      <w:tblPr>
        <w:tblStyle w:val="26"/>
        <w:tblW w:w="9686"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232"/>
        <w:gridCol w:w="1824"/>
        <w:gridCol w:w="846"/>
        <w:gridCol w:w="5784"/>
      </w:tblGrid>
      <w:tr w14:paraId="1AA30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Align w:val="center"/>
          </w:tcPr>
          <w:p w14:paraId="7B4BF4A4">
            <w:pPr>
              <w:keepLines/>
              <w:widowControl/>
              <w:topLinePunct/>
              <w:adjustRightInd w:val="0"/>
              <w:snapToGrid w:val="0"/>
              <w:ind w:right="3"/>
              <w:jc w:val="center"/>
              <w:rPr>
                <w:rFonts w:cs="仿宋_GB2312"/>
                <w:color w:val="auto"/>
                <w:sz w:val="24"/>
                <w:highlight w:val="none"/>
              </w:rPr>
            </w:pPr>
            <w:r>
              <w:rPr>
                <w:rFonts w:hint="eastAsia" w:cs="仿宋_GB2312"/>
                <w:color w:val="auto"/>
                <w:sz w:val="24"/>
                <w:highlight w:val="none"/>
              </w:rPr>
              <w:t>分类</w:t>
            </w:r>
          </w:p>
        </w:tc>
        <w:tc>
          <w:tcPr>
            <w:tcW w:w="1824" w:type="dxa"/>
            <w:vAlign w:val="center"/>
          </w:tcPr>
          <w:p w14:paraId="2BF5201B">
            <w:pPr>
              <w:keepLines/>
              <w:widowControl/>
              <w:topLinePunct/>
              <w:adjustRightInd w:val="0"/>
              <w:snapToGrid w:val="0"/>
              <w:ind w:right="3"/>
              <w:jc w:val="center"/>
              <w:rPr>
                <w:rFonts w:cs="仿宋_GB2312"/>
                <w:color w:val="auto"/>
                <w:sz w:val="24"/>
                <w:highlight w:val="none"/>
              </w:rPr>
            </w:pPr>
            <w:r>
              <w:rPr>
                <w:rFonts w:hint="eastAsia" w:cs="仿宋_GB2312"/>
                <w:color w:val="auto"/>
                <w:sz w:val="24"/>
                <w:highlight w:val="none"/>
              </w:rPr>
              <w:t>评审</w:t>
            </w:r>
          </w:p>
          <w:p w14:paraId="75DD79CE">
            <w:pPr>
              <w:keepLines/>
              <w:widowControl/>
              <w:topLinePunct/>
              <w:adjustRightInd w:val="0"/>
              <w:snapToGrid w:val="0"/>
              <w:ind w:right="3"/>
              <w:jc w:val="center"/>
              <w:rPr>
                <w:rFonts w:cs="仿宋_GB2312"/>
                <w:color w:val="auto"/>
                <w:sz w:val="24"/>
                <w:highlight w:val="none"/>
              </w:rPr>
            </w:pPr>
            <w:r>
              <w:rPr>
                <w:rFonts w:hint="eastAsia" w:cs="仿宋_GB2312"/>
                <w:color w:val="auto"/>
                <w:sz w:val="24"/>
                <w:highlight w:val="none"/>
              </w:rPr>
              <w:t>因素</w:t>
            </w:r>
          </w:p>
        </w:tc>
        <w:tc>
          <w:tcPr>
            <w:tcW w:w="846" w:type="dxa"/>
            <w:vAlign w:val="center"/>
          </w:tcPr>
          <w:p w14:paraId="4C96D769">
            <w:pPr>
              <w:keepLines/>
              <w:widowControl/>
              <w:topLinePunct/>
              <w:adjustRightInd w:val="0"/>
              <w:snapToGrid w:val="0"/>
              <w:ind w:right="3"/>
              <w:jc w:val="center"/>
              <w:rPr>
                <w:rFonts w:cs="仿宋_GB2312"/>
                <w:color w:val="auto"/>
                <w:sz w:val="24"/>
                <w:highlight w:val="none"/>
              </w:rPr>
            </w:pPr>
            <w:r>
              <w:rPr>
                <w:rFonts w:hint="eastAsia" w:cs="仿宋_GB2312"/>
                <w:color w:val="auto"/>
                <w:sz w:val="24"/>
                <w:highlight w:val="none"/>
              </w:rPr>
              <w:t>分值</w:t>
            </w:r>
          </w:p>
        </w:tc>
        <w:tc>
          <w:tcPr>
            <w:tcW w:w="5784" w:type="dxa"/>
            <w:vAlign w:val="center"/>
          </w:tcPr>
          <w:p w14:paraId="51D2AF7C">
            <w:pPr>
              <w:keepLines/>
              <w:widowControl/>
              <w:topLinePunct/>
              <w:adjustRightInd w:val="0"/>
              <w:snapToGrid w:val="0"/>
              <w:ind w:right="3"/>
              <w:jc w:val="center"/>
              <w:rPr>
                <w:rFonts w:hint="eastAsia" w:eastAsia="仿宋_GB2312" w:cs="仿宋_GB2312"/>
                <w:color w:val="auto"/>
                <w:sz w:val="24"/>
                <w:highlight w:val="none"/>
                <w:lang w:val="en-US" w:eastAsia="zh-CN"/>
              </w:rPr>
            </w:pPr>
            <w:r>
              <w:rPr>
                <w:rFonts w:hint="eastAsia" w:cs="仿宋_GB2312"/>
                <w:color w:val="auto"/>
                <w:sz w:val="24"/>
                <w:highlight w:val="none"/>
              </w:rPr>
              <w:t>评分细则</w:t>
            </w:r>
          </w:p>
        </w:tc>
      </w:tr>
      <w:tr w14:paraId="5446D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Align w:val="center"/>
          </w:tcPr>
          <w:p w14:paraId="7B6F48EB">
            <w:pPr>
              <w:keepLines/>
              <w:widowControl/>
              <w:topLinePunct/>
              <w:adjustRightInd w:val="0"/>
              <w:snapToGrid w:val="0"/>
              <w:ind w:right="3"/>
              <w:jc w:val="center"/>
              <w:rPr>
                <w:rFonts w:cs="仿宋_GB2312"/>
                <w:color w:val="auto"/>
                <w:sz w:val="24"/>
                <w:highlight w:val="none"/>
              </w:rPr>
            </w:pPr>
            <w:r>
              <w:rPr>
                <w:rFonts w:hint="eastAsia" w:cs="仿宋_GB2312"/>
                <w:color w:val="auto"/>
                <w:sz w:val="24"/>
                <w:highlight w:val="none"/>
              </w:rPr>
              <w:t>资信</w:t>
            </w:r>
          </w:p>
          <w:p w14:paraId="774D4C77">
            <w:pPr>
              <w:keepLines/>
              <w:widowControl/>
              <w:topLinePunct/>
              <w:adjustRightInd w:val="0"/>
              <w:snapToGrid w:val="0"/>
              <w:ind w:right="3"/>
              <w:jc w:val="center"/>
              <w:rPr>
                <w:rFonts w:cs="仿宋_GB2312"/>
                <w:color w:val="auto"/>
                <w:sz w:val="24"/>
                <w:highlight w:val="none"/>
              </w:rPr>
            </w:pPr>
            <w:r>
              <w:rPr>
                <w:rFonts w:hint="eastAsia" w:cs="仿宋_GB2312"/>
                <w:color w:val="auto"/>
                <w:sz w:val="24"/>
                <w:highlight w:val="none"/>
              </w:rPr>
              <w:t>评审</w:t>
            </w:r>
          </w:p>
          <w:p w14:paraId="6B7B5D0D">
            <w:pPr>
              <w:pStyle w:val="17"/>
              <w:jc w:val="center"/>
              <w:rPr>
                <w:rFonts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t>（</w:t>
            </w:r>
            <w:r>
              <w:rPr>
                <w:rFonts w:hint="eastAsia" w:ascii="Times New Roman" w:hAnsi="Times New Roman" w:eastAsia="仿宋_GB2312" w:cs="仿宋_GB2312"/>
                <w:color w:val="auto"/>
                <w:sz w:val="24"/>
                <w:highlight w:val="none"/>
                <w:u w:val="single"/>
              </w:rPr>
              <w:t>5</w:t>
            </w:r>
            <w:r>
              <w:rPr>
                <w:rFonts w:hint="eastAsia" w:ascii="Times New Roman" w:hAnsi="Times New Roman" w:eastAsia="仿宋_GB2312" w:cs="仿宋_GB2312"/>
                <w:color w:val="auto"/>
                <w:sz w:val="24"/>
                <w:highlight w:val="none"/>
              </w:rPr>
              <w:t>分）</w:t>
            </w:r>
          </w:p>
        </w:tc>
        <w:tc>
          <w:tcPr>
            <w:tcW w:w="1824" w:type="dxa"/>
            <w:vAlign w:val="center"/>
          </w:tcPr>
          <w:p w14:paraId="76ADA43F">
            <w:pPr>
              <w:keepLines/>
              <w:widowControl/>
              <w:topLinePunct/>
              <w:adjustRightInd w:val="0"/>
              <w:snapToGrid w:val="0"/>
              <w:ind w:right="3"/>
              <w:jc w:val="center"/>
              <w:rPr>
                <w:rFonts w:cs="仿宋_GB2312"/>
                <w:color w:val="auto"/>
                <w:sz w:val="24"/>
                <w:highlight w:val="none"/>
              </w:rPr>
            </w:pPr>
            <w:r>
              <w:rPr>
                <w:rFonts w:hint="eastAsia" w:cs="仿宋_GB2312"/>
                <w:color w:val="auto"/>
                <w:sz w:val="24"/>
                <w:highlight w:val="none"/>
              </w:rPr>
              <w:t>业绩评价</w:t>
            </w:r>
          </w:p>
        </w:tc>
        <w:tc>
          <w:tcPr>
            <w:tcW w:w="846" w:type="dxa"/>
            <w:vAlign w:val="center"/>
          </w:tcPr>
          <w:p w14:paraId="7E82EDB5">
            <w:pPr>
              <w:keepLines/>
              <w:widowControl/>
              <w:topLinePunct/>
              <w:adjustRightInd w:val="0"/>
              <w:snapToGrid w:val="0"/>
              <w:ind w:right="3"/>
              <w:jc w:val="center"/>
              <w:rPr>
                <w:rFonts w:cs="仿宋_GB2312"/>
                <w:color w:val="auto"/>
                <w:sz w:val="24"/>
                <w:highlight w:val="none"/>
              </w:rPr>
            </w:pPr>
            <w:r>
              <w:rPr>
                <w:rFonts w:hint="eastAsia" w:cs="仿宋_GB2312"/>
                <w:color w:val="auto"/>
                <w:sz w:val="24"/>
                <w:highlight w:val="none"/>
              </w:rPr>
              <w:t>5</w:t>
            </w:r>
          </w:p>
        </w:tc>
        <w:tc>
          <w:tcPr>
            <w:tcW w:w="5784" w:type="dxa"/>
            <w:vAlign w:val="center"/>
          </w:tcPr>
          <w:p w14:paraId="7FE63D73">
            <w:pPr>
              <w:rPr>
                <w:rFonts w:cs="仿宋_GB2312"/>
                <w:color w:val="auto"/>
                <w:sz w:val="24"/>
                <w:highlight w:val="none"/>
              </w:rPr>
            </w:pPr>
            <w:r>
              <w:rPr>
                <w:rFonts w:hint="eastAsia" w:cs="仿宋_GB2312"/>
                <w:color w:val="auto"/>
                <w:sz w:val="24"/>
                <w:highlight w:val="none"/>
              </w:rPr>
              <w:t>投标人自2020年1月1日以来（以合同签订时间为准），具有与本项目类似的生活垃圾焚烧行业垃圾吊改造服务业绩的，每个得1分，最高得5分。</w:t>
            </w:r>
          </w:p>
          <w:p w14:paraId="3ED058FE">
            <w:pPr>
              <w:rPr>
                <w:rFonts w:cs="仿宋_GB2312"/>
                <w:color w:val="auto"/>
                <w:sz w:val="24"/>
                <w:highlight w:val="none"/>
              </w:rPr>
            </w:pPr>
            <w:r>
              <w:rPr>
                <w:rFonts w:hint="eastAsia" w:cs="仿宋_GB2312"/>
                <w:color w:val="auto"/>
                <w:sz w:val="24"/>
                <w:highlight w:val="none"/>
              </w:rPr>
              <w:t>【证明材料：同时提供合同及验收合格材料复制件加盖公章，未按要求提供证明材料的不得分。若合同中未能明确显示项目名称及所属垃圾焚烧行业，可以提供业主证明原件，否则视为无效业绩不得分】</w:t>
            </w:r>
          </w:p>
          <w:p w14:paraId="59F2D79F">
            <w:pPr>
              <w:pStyle w:val="17"/>
              <w:rPr>
                <w:color w:val="auto"/>
                <w:highlight w:val="none"/>
              </w:rPr>
            </w:pPr>
            <w:r>
              <w:rPr>
                <w:rFonts w:hint="eastAsia" w:ascii="Times New Roman" w:hAnsi="Times New Roman" w:eastAsia="仿宋_GB2312" w:cs="仿宋_GB2312"/>
                <w:b/>
                <w:bCs/>
                <w:color w:val="auto"/>
                <w:kern w:val="2"/>
                <w:sz w:val="24"/>
                <w:highlight w:val="none"/>
              </w:rPr>
              <w:t>注：与本项目类似是指业绩证明材料中须能体现至少一项与本项目相同的服务内容</w:t>
            </w:r>
          </w:p>
        </w:tc>
      </w:tr>
      <w:tr w14:paraId="11FA9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restart"/>
            <w:vAlign w:val="center"/>
          </w:tcPr>
          <w:p w14:paraId="3C9895F3">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技术评审（</w:t>
            </w:r>
            <w:r>
              <w:rPr>
                <w:rFonts w:hint="eastAsia" w:cs="仿宋_GB2312"/>
                <w:color w:val="auto"/>
                <w:sz w:val="24"/>
                <w:highlight w:val="none"/>
                <w:u w:val="single"/>
              </w:rPr>
              <w:t>25</w:t>
            </w:r>
            <w:r>
              <w:rPr>
                <w:rFonts w:hint="eastAsia" w:cs="仿宋_GB2312"/>
                <w:color w:val="auto"/>
                <w:sz w:val="24"/>
                <w:highlight w:val="none"/>
              </w:rPr>
              <w:t>分）</w:t>
            </w:r>
          </w:p>
        </w:tc>
        <w:tc>
          <w:tcPr>
            <w:tcW w:w="1824" w:type="dxa"/>
            <w:tcBorders>
              <w:top w:val="single" w:color="auto" w:sz="4" w:space="0"/>
              <w:bottom w:val="single" w:color="auto" w:sz="4" w:space="0"/>
            </w:tcBorders>
            <w:vAlign w:val="center"/>
          </w:tcPr>
          <w:p w14:paraId="44BD71C7">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技术方案</w:t>
            </w:r>
          </w:p>
        </w:tc>
        <w:tc>
          <w:tcPr>
            <w:tcW w:w="846" w:type="dxa"/>
            <w:tcBorders>
              <w:top w:val="single" w:color="auto" w:sz="4" w:space="0"/>
              <w:bottom w:val="single" w:color="auto" w:sz="4" w:space="0"/>
            </w:tcBorders>
            <w:vAlign w:val="center"/>
          </w:tcPr>
          <w:p w14:paraId="32C2CBB7">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3</w:t>
            </w:r>
          </w:p>
        </w:tc>
        <w:tc>
          <w:tcPr>
            <w:tcW w:w="5784" w:type="dxa"/>
            <w:tcBorders>
              <w:top w:val="single" w:color="auto" w:sz="4" w:space="0"/>
              <w:bottom w:val="single" w:color="auto" w:sz="4" w:space="0"/>
            </w:tcBorders>
            <w:vAlign w:val="center"/>
          </w:tcPr>
          <w:p w14:paraId="760DFEF3">
            <w:pPr>
              <w:jc w:val="left"/>
              <w:rPr>
                <w:rFonts w:cs="仿宋_GB2312"/>
                <w:color w:val="auto"/>
                <w:sz w:val="24"/>
                <w:highlight w:val="none"/>
              </w:rPr>
            </w:pPr>
            <w:r>
              <w:rPr>
                <w:rFonts w:hint="eastAsia" w:cs="仿宋_GB2312"/>
                <w:color w:val="auto"/>
                <w:sz w:val="24"/>
                <w:highlight w:val="none"/>
              </w:rPr>
              <w:t>对各投标人关于本项目技术方案进行综合评分，技术方案应包括详细分析本项目特点、改造技术重难点以及对应措施，改造前后垃圾吊行车的电气系统特性分析等内容。根据分析深度及优劣程度打分，“优”得2.5～3分，“良”得2-3（不含）分，“差”得0-2（不含）分，无相关内容不得分。</w:t>
            </w:r>
          </w:p>
        </w:tc>
      </w:tr>
      <w:tr w14:paraId="5BDB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020" w:hRule="atLeast"/>
        </w:trPr>
        <w:tc>
          <w:tcPr>
            <w:tcW w:w="1232" w:type="dxa"/>
            <w:vMerge w:val="continue"/>
            <w:vAlign w:val="center"/>
          </w:tcPr>
          <w:p w14:paraId="55911BA0">
            <w:pPr>
              <w:keepLines/>
              <w:widowControl/>
              <w:topLinePunct/>
              <w:adjustRightInd w:val="0"/>
              <w:snapToGrid w:val="0"/>
              <w:jc w:val="center"/>
              <w:rPr>
                <w:rFonts w:cs="仿宋_GB2312"/>
                <w:color w:val="auto"/>
                <w:sz w:val="24"/>
                <w:highlight w:val="none"/>
              </w:rPr>
            </w:pPr>
          </w:p>
        </w:tc>
        <w:tc>
          <w:tcPr>
            <w:tcW w:w="1824" w:type="dxa"/>
            <w:tcBorders>
              <w:top w:val="single" w:color="auto" w:sz="4" w:space="0"/>
              <w:bottom w:val="single" w:color="auto" w:sz="4" w:space="0"/>
            </w:tcBorders>
            <w:vAlign w:val="center"/>
          </w:tcPr>
          <w:p w14:paraId="3ADDA4D6">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PLC系统配置</w:t>
            </w:r>
          </w:p>
        </w:tc>
        <w:tc>
          <w:tcPr>
            <w:tcW w:w="846" w:type="dxa"/>
            <w:tcBorders>
              <w:top w:val="single" w:color="auto" w:sz="4" w:space="0"/>
              <w:bottom w:val="single" w:color="auto" w:sz="4" w:space="0"/>
            </w:tcBorders>
            <w:vAlign w:val="center"/>
          </w:tcPr>
          <w:p w14:paraId="64098C2B">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3</w:t>
            </w:r>
          </w:p>
        </w:tc>
        <w:tc>
          <w:tcPr>
            <w:tcW w:w="5784" w:type="dxa"/>
            <w:tcBorders>
              <w:top w:val="single" w:color="auto" w:sz="4" w:space="0"/>
              <w:bottom w:val="single" w:color="auto" w:sz="4" w:space="0"/>
            </w:tcBorders>
            <w:vAlign w:val="center"/>
          </w:tcPr>
          <w:p w14:paraId="5D533313">
            <w:pPr>
              <w:jc w:val="left"/>
              <w:rPr>
                <w:rFonts w:cs="仿宋_GB2312"/>
                <w:color w:val="auto"/>
                <w:sz w:val="24"/>
                <w:highlight w:val="none"/>
              </w:rPr>
            </w:pPr>
            <w:r>
              <w:rPr>
                <w:rFonts w:hint="eastAsia" w:cs="仿宋_GB2312"/>
                <w:color w:val="auto"/>
                <w:sz w:val="24"/>
                <w:highlight w:val="none"/>
              </w:rPr>
              <w:t>对各投标人的PLC系统配置综合评分，主要从PLC系统升级选型、PLC系统与现有设备兼容性、CPU技术参数等方面进行评价，根据配置情况，“优”得2.5～3分，“良”得2-3（不含）分，“差”得0-2（不含）分，无相关内容不得分。。</w:t>
            </w:r>
          </w:p>
        </w:tc>
      </w:tr>
      <w:tr w14:paraId="66E01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vAlign w:val="center"/>
          </w:tcPr>
          <w:p w14:paraId="03ECC394">
            <w:pPr>
              <w:keepLines/>
              <w:widowControl/>
              <w:topLinePunct/>
              <w:adjustRightInd w:val="0"/>
              <w:snapToGrid w:val="0"/>
              <w:jc w:val="center"/>
              <w:rPr>
                <w:rFonts w:cs="仿宋_GB2312"/>
                <w:color w:val="auto"/>
                <w:sz w:val="24"/>
                <w:highlight w:val="none"/>
              </w:rPr>
            </w:pPr>
          </w:p>
        </w:tc>
        <w:tc>
          <w:tcPr>
            <w:tcW w:w="1824" w:type="dxa"/>
            <w:tcBorders>
              <w:top w:val="single" w:color="auto" w:sz="4" w:space="0"/>
              <w:bottom w:val="single" w:color="auto" w:sz="4" w:space="0"/>
            </w:tcBorders>
            <w:vAlign w:val="center"/>
          </w:tcPr>
          <w:p w14:paraId="2D17C056">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专项方案</w:t>
            </w:r>
          </w:p>
        </w:tc>
        <w:tc>
          <w:tcPr>
            <w:tcW w:w="846" w:type="dxa"/>
            <w:tcBorders>
              <w:top w:val="single" w:color="auto" w:sz="4" w:space="0"/>
              <w:bottom w:val="single" w:color="auto" w:sz="4" w:space="0"/>
            </w:tcBorders>
            <w:vAlign w:val="center"/>
          </w:tcPr>
          <w:p w14:paraId="033A663B">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6</w:t>
            </w:r>
          </w:p>
        </w:tc>
        <w:tc>
          <w:tcPr>
            <w:tcW w:w="5784" w:type="dxa"/>
            <w:tcBorders>
              <w:top w:val="single" w:color="auto" w:sz="4" w:space="0"/>
              <w:bottom w:val="single" w:color="auto" w:sz="4" w:space="0"/>
            </w:tcBorders>
            <w:vAlign w:val="center"/>
          </w:tcPr>
          <w:p w14:paraId="7270A7BE">
            <w:pPr>
              <w:jc w:val="left"/>
              <w:rPr>
                <w:rFonts w:cs="仿宋_GB2312"/>
                <w:color w:val="auto"/>
                <w:sz w:val="24"/>
                <w:highlight w:val="none"/>
              </w:rPr>
            </w:pPr>
            <w:r>
              <w:rPr>
                <w:rFonts w:hint="eastAsia" w:cs="仿宋_GB2312"/>
                <w:color w:val="auto"/>
                <w:sz w:val="24"/>
                <w:highlight w:val="none"/>
              </w:rPr>
              <w:t>各投标人根据招标文件要求制定专项方案，详细描述防摇摆和防溜钩等控制程序、座椅及触摸屏配置、通讯设备配置等内容，根据方案优劣程度打分，“优”得5～6分，“良”得3-5（不含）分，“差”得0-3（不含）分，无相关内容不得分。</w:t>
            </w:r>
          </w:p>
        </w:tc>
      </w:tr>
      <w:tr w14:paraId="1DAC0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vAlign w:val="center"/>
          </w:tcPr>
          <w:p w14:paraId="3E6D9E3F">
            <w:pPr>
              <w:keepLines/>
              <w:widowControl/>
              <w:topLinePunct/>
              <w:adjustRightInd w:val="0"/>
              <w:snapToGrid w:val="0"/>
              <w:jc w:val="center"/>
              <w:rPr>
                <w:rFonts w:cs="仿宋_GB2312"/>
                <w:color w:val="auto"/>
                <w:sz w:val="24"/>
                <w:highlight w:val="none"/>
              </w:rPr>
            </w:pPr>
          </w:p>
        </w:tc>
        <w:tc>
          <w:tcPr>
            <w:tcW w:w="1824" w:type="dxa"/>
            <w:tcBorders>
              <w:top w:val="single" w:color="auto" w:sz="4" w:space="0"/>
              <w:bottom w:val="single" w:color="auto" w:sz="4" w:space="0"/>
            </w:tcBorders>
            <w:vAlign w:val="center"/>
          </w:tcPr>
          <w:p w14:paraId="0E5CA078">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运行调试方案</w:t>
            </w:r>
          </w:p>
        </w:tc>
        <w:tc>
          <w:tcPr>
            <w:tcW w:w="846" w:type="dxa"/>
            <w:tcBorders>
              <w:top w:val="single" w:color="auto" w:sz="4" w:space="0"/>
              <w:bottom w:val="single" w:color="auto" w:sz="4" w:space="0"/>
            </w:tcBorders>
            <w:vAlign w:val="center"/>
          </w:tcPr>
          <w:p w14:paraId="1284DD4F">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5</w:t>
            </w:r>
          </w:p>
        </w:tc>
        <w:tc>
          <w:tcPr>
            <w:tcW w:w="5784" w:type="dxa"/>
            <w:tcBorders>
              <w:top w:val="single" w:color="auto" w:sz="4" w:space="0"/>
              <w:bottom w:val="single" w:color="auto" w:sz="4" w:space="0"/>
            </w:tcBorders>
            <w:vAlign w:val="center"/>
          </w:tcPr>
          <w:p w14:paraId="0E2ADEA4">
            <w:pPr>
              <w:jc w:val="left"/>
              <w:rPr>
                <w:rFonts w:cs="仿宋_GB2312"/>
                <w:color w:val="auto"/>
                <w:sz w:val="24"/>
                <w:highlight w:val="none"/>
              </w:rPr>
            </w:pPr>
            <w:r>
              <w:rPr>
                <w:rFonts w:hint="eastAsia" w:cs="仿宋_GB2312"/>
                <w:color w:val="auto"/>
                <w:sz w:val="24"/>
                <w:highlight w:val="none"/>
              </w:rPr>
              <w:t>对各投标人的运行调试方案进行评价，从本项目人员组织、设备出厂前准备、改造后整体联调、试运行、安全措施、运行稳定性、改造过程中行车使用配合、工器具准备、工期计划安排等方面综合评分。根据方案针对性及优劣程度打分，“优”得4～5分，“良”得3-4（不含）分，“差”得0-3（不含）分，无相关内容不得分。</w:t>
            </w:r>
          </w:p>
        </w:tc>
      </w:tr>
      <w:tr w14:paraId="69A47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vAlign w:val="center"/>
          </w:tcPr>
          <w:p w14:paraId="6B04DD7A">
            <w:pPr>
              <w:keepLines/>
              <w:widowControl/>
              <w:topLinePunct/>
              <w:adjustRightInd w:val="0"/>
              <w:snapToGrid w:val="0"/>
              <w:jc w:val="center"/>
              <w:rPr>
                <w:rFonts w:cs="仿宋_GB2312"/>
                <w:color w:val="auto"/>
                <w:sz w:val="24"/>
                <w:highlight w:val="none"/>
              </w:rPr>
            </w:pPr>
          </w:p>
        </w:tc>
        <w:tc>
          <w:tcPr>
            <w:tcW w:w="1824" w:type="dxa"/>
            <w:tcBorders>
              <w:top w:val="single" w:color="auto" w:sz="4" w:space="0"/>
              <w:bottom w:val="single" w:color="auto" w:sz="4" w:space="0"/>
            </w:tcBorders>
            <w:vAlign w:val="center"/>
          </w:tcPr>
          <w:p w14:paraId="34B17281">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应急保障方案</w:t>
            </w:r>
          </w:p>
        </w:tc>
        <w:tc>
          <w:tcPr>
            <w:tcW w:w="846" w:type="dxa"/>
            <w:tcBorders>
              <w:top w:val="single" w:color="auto" w:sz="4" w:space="0"/>
              <w:bottom w:val="single" w:color="auto" w:sz="4" w:space="0"/>
            </w:tcBorders>
            <w:vAlign w:val="center"/>
          </w:tcPr>
          <w:p w14:paraId="168288F8">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3</w:t>
            </w:r>
          </w:p>
        </w:tc>
        <w:tc>
          <w:tcPr>
            <w:tcW w:w="5784" w:type="dxa"/>
            <w:tcBorders>
              <w:top w:val="single" w:color="auto" w:sz="4" w:space="0"/>
              <w:bottom w:val="single" w:color="auto" w:sz="4" w:space="0"/>
            </w:tcBorders>
            <w:vAlign w:val="center"/>
          </w:tcPr>
          <w:p w14:paraId="28CD5E39">
            <w:pPr>
              <w:rPr>
                <w:rFonts w:cs="仿宋_GB2312"/>
                <w:color w:val="auto"/>
                <w:sz w:val="24"/>
                <w:highlight w:val="none"/>
              </w:rPr>
            </w:pPr>
            <w:r>
              <w:rPr>
                <w:rFonts w:hint="eastAsia" w:cs="仿宋_GB2312"/>
                <w:color w:val="auto"/>
                <w:sz w:val="24"/>
                <w:highlight w:val="none"/>
              </w:rPr>
              <w:t>对各投标人的应急保障方案进行评价，从爆炸及火灾预防、有毒有害气体防范、紧急情况下的行车恢复保障等方面综合评分。根据方案优劣程度打分，“优”得2.5～3分，“良”得2-3（不含）分，“差”得0-2（不含）分，无相关内容不得分。</w:t>
            </w:r>
          </w:p>
        </w:tc>
      </w:tr>
      <w:tr w14:paraId="1AEA6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vAlign w:val="center"/>
          </w:tcPr>
          <w:p w14:paraId="65C90C88">
            <w:pPr>
              <w:keepLines/>
              <w:widowControl/>
              <w:topLinePunct/>
              <w:adjustRightInd w:val="0"/>
              <w:snapToGrid w:val="0"/>
              <w:jc w:val="center"/>
              <w:rPr>
                <w:rFonts w:cs="仿宋_GB2312"/>
                <w:color w:val="auto"/>
                <w:sz w:val="24"/>
                <w:highlight w:val="none"/>
              </w:rPr>
            </w:pPr>
          </w:p>
        </w:tc>
        <w:tc>
          <w:tcPr>
            <w:tcW w:w="1824" w:type="dxa"/>
            <w:tcBorders>
              <w:top w:val="single" w:color="auto" w:sz="4" w:space="0"/>
              <w:bottom w:val="single" w:color="auto" w:sz="4" w:space="0"/>
            </w:tcBorders>
            <w:shd w:val="clear" w:color="auto" w:fill="auto"/>
            <w:vAlign w:val="center"/>
          </w:tcPr>
          <w:p w14:paraId="6CF2BA29">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质量管控方案</w:t>
            </w:r>
          </w:p>
        </w:tc>
        <w:tc>
          <w:tcPr>
            <w:tcW w:w="846" w:type="dxa"/>
            <w:tcBorders>
              <w:top w:val="single" w:color="auto" w:sz="4" w:space="0"/>
              <w:bottom w:val="single" w:color="auto" w:sz="4" w:space="0"/>
            </w:tcBorders>
            <w:shd w:val="clear" w:color="auto" w:fill="auto"/>
            <w:vAlign w:val="center"/>
          </w:tcPr>
          <w:p w14:paraId="36DCA14B">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3</w:t>
            </w:r>
          </w:p>
        </w:tc>
        <w:tc>
          <w:tcPr>
            <w:tcW w:w="5784" w:type="dxa"/>
            <w:tcBorders>
              <w:top w:val="single" w:color="auto" w:sz="4" w:space="0"/>
              <w:bottom w:val="single" w:color="auto" w:sz="4" w:space="0"/>
            </w:tcBorders>
            <w:shd w:val="clear" w:color="auto" w:fill="auto"/>
            <w:vAlign w:val="center"/>
          </w:tcPr>
          <w:p w14:paraId="49249163">
            <w:pPr>
              <w:jc w:val="left"/>
              <w:rPr>
                <w:rFonts w:cs="仿宋_GB2312"/>
                <w:color w:val="auto"/>
                <w:sz w:val="24"/>
                <w:highlight w:val="none"/>
              </w:rPr>
            </w:pPr>
            <w:r>
              <w:rPr>
                <w:rFonts w:hint="eastAsia" w:cs="仿宋_GB2312"/>
                <w:color w:val="auto"/>
                <w:sz w:val="24"/>
                <w:highlight w:val="none"/>
              </w:rPr>
              <w:t>对各投标人的质量管控方案进行评价，从设备质量管控、程序稳定可靠性、改造后的售后服务等方面综合评分，根据方案针对性及优劣程度打分，“优”得2.5～3分，“良”得2-3（不含）分，“差”得0-2（不含）分，无相关内容不得分。</w:t>
            </w:r>
          </w:p>
        </w:tc>
      </w:tr>
      <w:tr w14:paraId="313D3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vAlign w:val="center"/>
          </w:tcPr>
          <w:p w14:paraId="2D642C16">
            <w:pPr>
              <w:keepLines/>
              <w:widowControl/>
              <w:topLinePunct/>
              <w:adjustRightInd w:val="0"/>
              <w:snapToGrid w:val="0"/>
              <w:jc w:val="center"/>
              <w:rPr>
                <w:rFonts w:cs="仿宋_GB2312"/>
                <w:color w:val="auto"/>
                <w:sz w:val="24"/>
                <w:highlight w:val="none"/>
              </w:rPr>
            </w:pPr>
          </w:p>
        </w:tc>
        <w:tc>
          <w:tcPr>
            <w:tcW w:w="1824" w:type="dxa"/>
            <w:tcBorders>
              <w:top w:val="single" w:color="auto" w:sz="4" w:space="0"/>
              <w:bottom w:val="single" w:color="auto" w:sz="4" w:space="0"/>
            </w:tcBorders>
            <w:vAlign w:val="center"/>
          </w:tcPr>
          <w:p w14:paraId="76FC08BA">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增值服务</w:t>
            </w:r>
          </w:p>
        </w:tc>
        <w:tc>
          <w:tcPr>
            <w:tcW w:w="846" w:type="dxa"/>
            <w:tcBorders>
              <w:top w:val="single" w:color="auto" w:sz="4" w:space="0"/>
              <w:bottom w:val="single" w:color="auto" w:sz="4" w:space="0"/>
            </w:tcBorders>
            <w:vAlign w:val="center"/>
          </w:tcPr>
          <w:p w14:paraId="3DE7C560">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2</w:t>
            </w:r>
          </w:p>
        </w:tc>
        <w:tc>
          <w:tcPr>
            <w:tcW w:w="5784" w:type="dxa"/>
            <w:tcBorders>
              <w:top w:val="single" w:color="auto" w:sz="4" w:space="0"/>
              <w:bottom w:val="single" w:color="auto" w:sz="4" w:space="0"/>
            </w:tcBorders>
            <w:vAlign w:val="center"/>
          </w:tcPr>
          <w:p w14:paraId="7F8BCCD0">
            <w:pPr>
              <w:keepLines/>
              <w:widowControl/>
              <w:topLinePunct/>
              <w:adjustRightInd w:val="0"/>
              <w:snapToGrid w:val="0"/>
              <w:ind w:right="3"/>
              <w:jc w:val="left"/>
              <w:rPr>
                <w:rFonts w:cs="仿宋_GB2312"/>
                <w:color w:val="auto"/>
                <w:sz w:val="24"/>
                <w:highlight w:val="none"/>
              </w:rPr>
            </w:pPr>
            <w:r>
              <w:rPr>
                <w:rFonts w:hint="eastAsia" w:cs="仿宋_GB2312"/>
                <w:color w:val="auto"/>
                <w:sz w:val="24"/>
                <w:highlight w:val="none"/>
              </w:rPr>
              <w:t>单台垃圾吊改造质保期限在24个月基础上，每增加3个月，得0.5分，最高得2分。无相关内容不得分。</w:t>
            </w:r>
          </w:p>
        </w:tc>
      </w:tr>
      <w:tr w14:paraId="4F214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tcBorders>
              <w:right w:val="single" w:color="auto" w:sz="4" w:space="0"/>
            </w:tcBorders>
            <w:vAlign w:val="center"/>
          </w:tcPr>
          <w:p w14:paraId="14B53606">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商</w:t>
            </w:r>
          </w:p>
          <w:p w14:paraId="06E6357C">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务</w:t>
            </w:r>
          </w:p>
          <w:p w14:paraId="489E9D74">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标</w:t>
            </w:r>
          </w:p>
          <w:p w14:paraId="080B48F4">
            <w:pPr>
              <w:keepLines/>
              <w:widowControl/>
              <w:topLinePunct/>
              <w:adjustRightInd w:val="0"/>
              <w:snapToGrid w:val="0"/>
              <w:jc w:val="center"/>
              <w:rPr>
                <w:rFonts w:cs="仿宋_GB2312"/>
                <w:color w:val="auto"/>
                <w:sz w:val="24"/>
                <w:highlight w:val="none"/>
              </w:rPr>
            </w:pPr>
            <w:r>
              <w:rPr>
                <w:rFonts w:hint="eastAsia" w:cs="仿宋_GB2312"/>
                <w:color w:val="auto"/>
                <w:sz w:val="24"/>
                <w:highlight w:val="none"/>
              </w:rPr>
              <w:t>（</w:t>
            </w:r>
            <w:r>
              <w:rPr>
                <w:rFonts w:hint="eastAsia" w:cs="仿宋_GB2312"/>
                <w:color w:val="auto"/>
                <w:sz w:val="24"/>
                <w:highlight w:val="none"/>
                <w:u w:val="single"/>
                <w:lang w:val="en-US" w:eastAsia="zh-CN"/>
              </w:rPr>
              <w:t>7</w:t>
            </w:r>
            <w:r>
              <w:rPr>
                <w:rFonts w:hint="eastAsia" w:cs="仿宋_GB2312"/>
                <w:color w:val="auto"/>
                <w:sz w:val="24"/>
                <w:highlight w:val="none"/>
                <w:u w:val="single"/>
              </w:rPr>
              <w:t>0</w:t>
            </w:r>
            <w:r>
              <w:rPr>
                <w:rFonts w:hint="eastAsia" w:cs="仿宋_GB2312"/>
                <w:color w:val="auto"/>
                <w:sz w:val="24"/>
                <w:highlight w:val="none"/>
              </w:rPr>
              <w:t>分）</w:t>
            </w:r>
          </w:p>
        </w:tc>
        <w:tc>
          <w:tcPr>
            <w:tcW w:w="8454" w:type="dxa"/>
            <w:gridSpan w:val="3"/>
            <w:tcBorders>
              <w:left w:val="single" w:color="auto" w:sz="4" w:space="0"/>
            </w:tcBorders>
            <w:vAlign w:val="center"/>
          </w:tcPr>
          <w:p w14:paraId="33FA7C01">
            <w:pPr>
              <w:tabs>
                <w:tab w:val="center" w:pos="4144"/>
              </w:tabs>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1、有效投标报价（A）的确定：通过初步评审、详细评审的投标报价即为有效投标报价（A）。</w:t>
            </w:r>
          </w:p>
          <w:p w14:paraId="2B73F128">
            <w:pPr>
              <w:tabs>
                <w:tab w:val="center" w:pos="4144"/>
              </w:tabs>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2、评标基准价（B）的确定：</w:t>
            </w:r>
          </w:p>
          <w:p w14:paraId="19F74740">
            <w:pPr>
              <w:tabs>
                <w:tab w:val="center" w:pos="4144"/>
              </w:tabs>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☑平均价为基准价：所有有效评标价（A）（有效报价</w:t>
            </w:r>
            <w:r>
              <w:rPr>
                <w:rFonts w:hint="eastAsia" w:cs="仿宋_GB2312"/>
                <w:color w:val="auto"/>
                <w:sz w:val="24"/>
                <w:highlight w:val="none"/>
                <w:u w:val="single"/>
              </w:rPr>
              <w:t>5</w:t>
            </w:r>
            <w:r>
              <w:rPr>
                <w:rFonts w:hint="eastAsia" w:cs="仿宋_GB2312"/>
                <w:color w:val="auto"/>
                <w:sz w:val="24"/>
                <w:highlight w:val="none"/>
              </w:rPr>
              <w:t>个及以上时，去除一个最高价和一个最低价；有效报价在</w:t>
            </w:r>
            <w:r>
              <w:rPr>
                <w:rFonts w:hint="eastAsia" w:cs="仿宋_GB2312"/>
                <w:color w:val="auto"/>
                <w:sz w:val="24"/>
                <w:highlight w:val="none"/>
                <w:u w:val="single"/>
              </w:rPr>
              <w:t>10</w:t>
            </w:r>
            <w:r>
              <w:rPr>
                <w:rFonts w:hint="eastAsia" w:cs="仿宋_GB2312"/>
                <w:color w:val="auto"/>
                <w:sz w:val="24"/>
                <w:highlight w:val="none"/>
              </w:rPr>
              <w:t xml:space="preserve">个及以上时，去除一个最高、次高价和一个最低、次低价）的算术平均值为评标基准价（B）。 </w:t>
            </w:r>
          </w:p>
          <w:p w14:paraId="3E75332C">
            <w:pPr>
              <w:tabs>
                <w:tab w:val="center" w:pos="4144"/>
              </w:tabs>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3、各投标人的商务得分（K）的确定：各投标人的有效投标报价（A）与评标基准价（B）相比较，相同者为满分</w:t>
            </w:r>
            <w:r>
              <w:rPr>
                <w:rFonts w:hint="eastAsia" w:cs="仿宋_GB2312"/>
                <w:color w:val="auto"/>
                <w:sz w:val="24"/>
                <w:highlight w:val="none"/>
                <w:u w:val="single"/>
              </w:rPr>
              <w:t>70</w:t>
            </w:r>
            <w:r>
              <w:rPr>
                <w:rFonts w:hint="eastAsia" w:cs="仿宋_GB2312"/>
                <w:color w:val="auto"/>
                <w:sz w:val="24"/>
                <w:highlight w:val="none"/>
              </w:rPr>
              <w:t>分，高于评标基准价的，每高于一个百分点扣</w:t>
            </w:r>
            <w:r>
              <w:rPr>
                <w:rFonts w:hint="eastAsia" w:cs="仿宋_GB2312"/>
                <w:color w:val="auto"/>
                <w:sz w:val="24"/>
                <w:highlight w:val="none"/>
                <w:u w:val="single"/>
              </w:rPr>
              <w:t xml:space="preserve"> 1 </w:t>
            </w:r>
            <w:r>
              <w:rPr>
                <w:rFonts w:hint="eastAsia" w:cs="仿宋_GB2312"/>
                <w:color w:val="auto"/>
                <w:sz w:val="24"/>
                <w:highlight w:val="none"/>
              </w:rPr>
              <w:t>分；低于评标基准价的，每小于一个百分点扣</w:t>
            </w:r>
            <w:r>
              <w:rPr>
                <w:rFonts w:hint="eastAsia" w:cs="仿宋_GB2312"/>
                <w:color w:val="auto"/>
                <w:sz w:val="24"/>
                <w:highlight w:val="none"/>
                <w:u w:val="single"/>
              </w:rPr>
              <w:t>0.5</w:t>
            </w:r>
            <w:r>
              <w:rPr>
                <w:rFonts w:hint="eastAsia" w:cs="仿宋_GB2312"/>
                <w:color w:val="auto"/>
                <w:sz w:val="24"/>
                <w:highlight w:val="none"/>
              </w:rPr>
              <w:t>分；不为整数时用插入法计算，保留2位小数。公式如下（商务得分低于0分的按照0分计）：公式如下：</w:t>
            </w:r>
          </w:p>
          <w:p w14:paraId="3138FF6B">
            <w:pPr>
              <w:tabs>
                <w:tab w:val="center" w:pos="4144"/>
              </w:tabs>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有效投标报价比评标基准价高时：K=</w:t>
            </w:r>
            <w:r>
              <w:rPr>
                <w:rFonts w:hint="eastAsia" w:cs="仿宋_GB2312"/>
                <w:color w:val="auto"/>
                <w:sz w:val="24"/>
                <w:highlight w:val="none"/>
                <w:u w:val="single"/>
              </w:rPr>
              <w:t>70</w:t>
            </w:r>
            <w:r>
              <w:rPr>
                <w:rFonts w:hint="eastAsia" w:cs="仿宋_GB2312"/>
                <w:color w:val="auto"/>
                <w:sz w:val="24"/>
                <w:highlight w:val="none"/>
              </w:rPr>
              <w:t>-[（A-B）/B]×100×</w:t>
            </w:r>
            <w:r>
              <w:rPr>
                <w:rFonts w:hint="eastAsia" w:cs="仿宋_GB2312"/>
                <w:color w:val="auto"/>
                <w:sz w:val="24"/>
                <w:highlight w:val="none"/>
                <w:u w:val="single"/>
              </w:rPr>
              <w:t xml:space="preserve">1  </w:t>
            </w:r>
            <w:r>
              <w:rPr>
                <w:rFonts w:hint="eastAsia" w:cs="仿宋_GB2312"/>
                <w:color w:val="auto"/>
                <w:sz w:val="24"/>
                <w:highlight w:val="none"/>
              </w:rPr>
              <w:t xml:space="preserve"> </w:t>
            </w:r>
          </w:p>
          <w:p w14:paraId="72AB7CF1">
            <w:pPr>
              <w:tabs>
                <w:tab w:val="center" w:pos="4144"/>
              </w:tabs>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有效投标报价比评标基准价低时：K=</w:t>
            </w:r>
            <w:r>
              <w:rPr>
                <w:rFonts w:hint="eastAsia" w:cs="仿宋_GB2312"/>
                <w:color w:val="auto"/>
                <w:sz w:val="24"/>
                <w:highlight w:val="none"/>
                <w:u w:val="single"/>
              </w:rPr>
              <w:t>70</w:t>
            </w:r>
            <w:r>
              <w:rPr>
                <w:rFonts w:hint="eastAsia" w:cs="仿宋_GB2312"/>
                <w:color w:val="auto"/>
                <w:sz w:val="24"/>
                <w:highlight w:val="none"/>
              </w:rPr>
              <w:t>-[（B-A）/B]×100×</w:t>
            </w:r>
            <w:r>
              <w:rPr>
                <w:rFonts w:hint="eastAsia" w:cs="仿宋_GB2312"/>
                <w:color w:val="auto"/>
                <w:sz w:val="24"/>
                <w:highlight w:val="none"/>
                <w:u w:val="single"/>
              </w:rPr>
              <w:t xml:space="preserve">0.5  </w:t>
            </w:r>
          </w:p>
          <w:p w14:paraId="37E517EC">
            <w:pPr>
              <w:tabs>
                <w:tab w:val="center" w:pos="4144"/>
              </w:tabs>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注：以上报价得分不足一个百分点时，使用直线插入法计算，保留小数2位。</w:t>
            </w:r>
          </w:p>
          <w:p w14:paraId="6AD381A3">
            <w:pPr>
              <w:tabs>
                <w:tab w:val="center" w:pos="4144"/>
              </w:tabs>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4、各投标人的综合得分确定后，按得分高低进行排序。</w:t>
            </w:r>
          </w:p>
        </w:tc>
      </w:tr>
    </w:tbl>
    <w:p w14:paraId="49ACAE00">
      <w:pPr>
        <w:pStyle w:val="17"/>
        <w:rPr>
          <w:rFonts w:ascii="Times New Roman" w:hAnsi="Times New Roman" w:eastAsia="仿宋_GB2312" w:cs="仿宋_GB2312"/>
          <w:color w:val="auto"/>
          <w:sz w:val="24"/>
          <w:highlight w:val="none"/>
        </w:rPr>
      </w:pPr>
    </w:p>
    <w:p w14:paraId="009C22A6">
      <w:pPr>
        <w:rPr>
          <w:rFonts w:cs="仿宋_GB2312"/>
          <w:color w:val="auto"/>
          <w:sz w:val="24"/>
          <w:highlight w:val="none"/>
        </w:rPr>
      </w:pPr>
    </w:p>
    <w:p w14:paraId="00E9FC52">
      <w:pPr>
        <w:wordWrap w:val="0"/>
        <w:spacing w:line="360" w:lineRule="auto"/>
        <w:rPr>
          <w:rFonts w:cs="仿宋_GB2312"/>
          <w:color w:val="auto"/>
          <w:sz w:val="24"/>
          <w:highlight w:val="none"/>
        </w:rPr>
      </w:pPr>
      <w:r>
        <w:rPr>
          <w:rFonts w:hint="eastAsia" w:cs="仿宋_GB2312"/>
          <w:color w:val="auto"/>
          <w:sz w:val="24"/>
          <w:highlight w:val="none"/>
        </w:rPr>
        <w:t>注：（1）上述提供的证明材料复印件加盖公章，原件随身携带备查，评标委员会确需查询原件而未能提供原件的不得分；中标候选人公示期间，招标人有权核查原件或要求进一步提供证明材料，被查实弄虚作假，取消中标资格并没收投标保证金。</w:t>
      </w:r>
    </w:p>
    <w:p w14:paraId="2B818A3E">
      <w:pPr>
        <w:adjustRightInd w:val="0"/>
        <w:snapToGrid w:val="0"/>
        <w:spacing w:line="360" w:lineRule="auto"/>
        <w:rPr>
          <w:rFonts w:cs="仿宋_GB2312"/>
          <w:color w:val="auto"/>
          <w:sz w:val="24"/>
          <w:highlight w:val="none"/>
        </w:rPr>
      </w:pPr>
      <w:r>
        <w:rPr>
          <w:rFonts w:hint="eastAsia" w:cs="仿宋_GB2312"/>
          <w:color w:val="auto"/>
          <w:sz w:val="24"/>
          <w:highlight w:val="none"/>
        </w:rPr>
        <w:t>（2）技术标评分由评标成员每人一份评分表，在分值范围内各自独立打分并签名。投标人技术得分为评标委员会各成员的有效评分的算术平均值（小数点保留两位，第三位四舍五入）；</w:t>
      </w:r>
    </w:p>
    <w:p w14:paraId="23A13132">
      <w:pPr>
        <w:spacing w:line="360" w:lineRule="auto"/>
        <w:rPr>
          <w:rFonts w:cs="仿宋_GB2312"/>
          <w:color w:val="auto"/>
          <w:sz w:val="24"/>
          <w:highlight w:val="none"/>
        </w:rPr>
      </w:pPr>
      <w:r>
        <w:rPr>
          <w:rFonts w:hint="eastAsia" w:cs="仿宋_GB2312"/>
          <w:color w:val="auto"/>
          <w:sz w:val="24"/>
          <w:highlight w:val="none"/>
        </w:rPr>
        <w:t>（3）资信标及商务标由评标委员会按评审标准统一评分。</w:t>
      </w:r>
    </w:p>
    <w:p w14:paraId="79E90CFC">
      <w:pPr>
        <w:pStyle w:val="12"/>
        <w:wordWrap w:val="0"/>
        <w:spacing w:line="360" w:lineRule="auto"/>
        <w:rPr>
          <w:rFonts w:ascii="Times New Roman" w:hAnsi="Times New Roman" w:eastAsia="仿宋_GB2312" w:cs="仿宋_GB2312"/>
          <w:color w:val="auto"/>
          <w:kern w:val="2"/>
          <w:sz w:val="24"/>
          <w:szCs w:val="24"/>
          <w:highlight w:val="none"/>
        </w:rPr>
      </w:pPr>
      <w:r>
        <w:rPr>
          <w:rFonts w:hint="eastAsia" w:ascii="Times New Roman" w:hAnsi="Times New Roman" w:eastAsia="仿宋_GB2312" w:cs="仿宋_GB2312"/>
          <w:color w:val="auto"/>
          <w:kern w:val="2"/>
          <w:sz w:val="24"/>
          <w:szCs w:val="24"/>
          <w:highlight w:val="none"/>
        </w:rPr>
        <w:t>（4）评审时如发现所投设备在数量、技术参数性能、质量有重大偏离，其投标文件将被拒绝，经评标委员会集体认定（以少数服从多数的原则），作为无效标处理。但允许在基本满足招标文件技术要求的前提下出现的微小差异。</w:t>
      </w:r>
    </w:p>
    <w:p w14:paraId="7CA4227B">
      <w:pPr>
        <w:spacing w:line="360" w:lineRule="auto"/>
        <w:rPr>
          <w:rFonts w:cs="仿宋_GB2312"/>
          <w:color w:val="auto"/>
          <w:spacing w:val="11"/>
          <w:sz w:val="24"/>
          <w:highlight w:val="none"/>
        </w:rPr>
      </w:pPr>
      <w:r>
        <w:rPr>
          <w:rFonts w:hint="eastAsia" w:cs="仿宋_GB2312"/>
          <w:color w:val="auto"/>
          <w:sz w:val="24"/>
          <w:highlight w:val="none"/>
        </w:rPr>
        <w:t xml:space="preserve"> </w:t>
      </w:r>
    </w:p>
    <w:p w14:paraId="3FCBC5BD">
      <w:pPr>
        <w:pStyle w:val="4"/>
        <w:spacing w:before="140" w:after="140" w:line="360" w:lineRule="auto"/>
        <w:jc w:val="center"/>
        <w:rPr>
          <w:rFonts w:ascii="Times New Roman" w:hAnsi="Times New Roman" w:eastAsia="仿宋_GB2312" w:cs="仿宋_GB2312"/>
          <w:color w:val="auto"/>
          <w:sz w:val="24"/>
          <w:szCs w:val="24"/>
          <w:highlight w:val="none"/>
        </w:rPr>
      </w:pPr>
      <w:bookmarkStart w:id="112" w:name="_Toc19732"/>
      <w:r>
        <w:rPr>
          <w:rFonts w:hint="eastAsia" w:ascii="Times New Roman" w:hAnsi="Times New Roman" w:eastAsia="仿宋_GB2312" w:cs="仿宋_GB2312"/>
          <w:color w:val="auto"/>
          <w:sz w:val="24"/>
          <w:szCs w:val="24"/>
          <w:highlight w:val="none"/>
        </w:rPr>
        <w:t>6、投标文件澄清、报价修正</w:t>
      </w:r>
      <w:bookmarkEnd w:id="112"/>
    </w:p>
    <w:p w14:paraId="076DC3A6">
      <w:pPr>
        <w:spacing w:line="440" w:lineRule="exact"/>
        <w:ind w:firstLine="542"/>
        <w:contextualSpacing/>
        <w:rPr>
          <w:rFonts w:cs="仿宋_GB2312"/>
          <w:color w:val="auto"/>
          <w:sz w:val="24"/>
          <w:highlight w:val="none"/>
        </w:rPr>
      </w:pPr>
      <w:r>
        <w:rPr>
          <w:rFonts w:hint="eastAsia" w:cs="仿宋_GB2312"/>
          <w:color w:val="auto"/>
          <w:spacing w:val="6"/>
          <w:sz w:val="24"/>
          <w:highlight w:val="none"/>
        </w:rPr>
        <w:t xml:space="preserve">6.1 </w:t>
      </w:r>
      <w:r>
        <w:rPr>
          <w:rFonts w:hint="eastAsia" w:cs="仿宋_GB2312"/>
          <w:color w:val="auto"/>
          <w:spacing w:val="11"/>
          <w:sz w:val="24"/>
          <w:highlight w:val="none"/>
        </w:rPr>
        <w:t>在评标过程中，评标委员会可以书面形式要求投标人对所提交的投标</w:t>
      </w:r>
      <w:r>
        <w:rPr>
          <w:rFonts w:hint="eastAsia" w:cs="仿宋_GB2312"/>
          <w:color w:val="auto"/>
          <w:spacing w:val="10"/>
          <w:sz w:val="24"/>
          <w:highlight w:val="none"/>
        </w:rPr>
        <w:t>文件中不明确的内容进行书面澄清、说明或者补正。投标人代表应保证联络方</w:t>
      </w:r>
      <w:r>
        <w:rPr>
          <w:rFonts w:hint="eastAsia" w:cs="仿宋_GB2312"/>
          <w:color w:val="auto"/>
          <w:spacing w:val="9"/>
          <w:sz w:val="24"/>
          <w:highlight w:val="none"/>
        </w:rPr>
        <w:t>式畅通</w:t>
      </w:r>
      <w:r>
        <w:rPr>
          <w:rFonts w:hint="eastAsia" w:cs="仿宋_GB2312"/>
          <w:color w:val="auto"/>
          <w:spacing w:val="10"/>
          <w:sz w:val="24"/>
          <w:highlight w:val="none"/>
        </w:rPr>
        <w:t>，</w:t>
      </w:r>
      <w:r>
        <w:rPr>
          <w:rFonts w:hint="eastAsia" w:cs="仿宋_GB2312"/>
          <w:color w:val="auto"/>
          <w:spacing w:val="9"/>
          <w:sz w:val="24"/>
          <w:highlight w:val="none"/>
        </w:rPr>
        <w:t>并应在接到电话通知后</w:t>
      </w:r>
      <w:r>
        <w:rPr>
          <w:rFonts w:hint="eastAsia" w:cs="仿宋_GB2312"/>
          <w:color w:val="auto"/>
          <w:spacing w:val="4"/>
          <w:sz w:val="24"/>
          <w:highlight w:val="none"/>
        </w:rPr>
        <w:t>30</w:t>
      </w:r>
      <w:r>
        <w:rPr>
          <w:rFonts w:hint="eastAsia" w:cs="仿宋_GB2312"/>
          <w:color w:val="auto"/>
          <w:spacing w:val="9"/>
          <w:sz w:val="24"/>
          <w:highlight w:val="none"/>
        </w:rPr>
        <w:t>分钟内</w:t>
      </w:r>
      <w:r>
        <w:rPr>
          <w:rFonts w:hint="eastAsia" w:cs="仿宋_GB2312"/>
          <w:color w:val="auto"/>
          <w:spacing w:val="11"/>
          <w:sz w:val="24"/>
          <w:highlight w:val="none"/>
        </w:rPr>
        <w:t>到达指定地点进行书面澄清、说明或者补正</w:t>
      </w:r>
      <w:r>
        <w:rPr>
          <w:rFonts w:hint="eastAsia" w:ascii="仿宋" w:hAnsi="仿宋" w:eastAsia="仿宋" w:cs="仿宋"/>
          <w:color w:val="auto"/>
          <w:spacing w:val="10"/>
          <w:sz w:val="24"/>
          <w:highlight w:val="none"/>
        </w:rPr>
        <w:t>（或通过录音电话予以确认澄清、说明、补正）</w:t>
      </w:r>
      <w:r>
        <w:rPr>
          <w:rFonts w:hint="eastAsia" w:cs="仿宋_GB2312"/>
          <w:color w:val="auto"/>
          <w:spacing w:val="11"/>
          <w:sz w:val="24"/>
          <w:highlight w:val="none"/>
        </w:rPr>
        <w:t>，如</w:t>
      </w:r>
      <w:r>
        <w:rPr>
          <w:rFonts w:hint="eastAsia" w:cs="仿宋_GB2312"/>
          <w:color w:val="auto"/>
          <w:spacing w:val="10"/>
          <w:sz w:val="24"/>
          <w:highlight w:val="none"/>
        </w:rPr>
        <w:t>无法联络到投标人代表或投标人代表在接到电话通</w:t>
      </w:r>
      <w:r>
        <w:rPr>
          <w:rFonts w:hint="eastAsia" w:cs="仿宋_GB2312"/>
          <w:color w:val="auto"/>
          <w:spacing w:val="7"/>
          <w:sz w:val="24"/>
          <w:highlight w:val="none"/>
        </w:rPr>
        <w:t>知后</w:t>
      </w:r>
      <w:r>
        <w:rPr>
          <w:rFonts w:hint="eastAsia" w:cs="仿宋_GB2312"/>
          <w:color w:val="auto"/>
          <w:spacing w:val="4"/>
          <w:sz w:val="24"/>
          <w:highlight w:val="none"/>
        </w:rPr>
        <w:t>30</w:t>
      </w:r>
      <w:r>
        <w:rPr>
          <w:rFonts w:hint="eastAsia" w:cs="仿宋_GB2312"/>
          <w:color w:val="auto"/>
          <w:spacing w:val="7"/>
          <w:sz w:val="24"/>
          <w:highlight w:val="none"/>
        </w:rPr>
        <w:t>分钟内未能到达指定</w:t>
      </w:r>
      <w:r>
        <w:rPr>
          <w:rFonts w:hint="eastAsia" w:cs="仿宋_GB2312"/>
          <w:color w:val="auto"/>
          <w:spacing w:val="6"/>
          <w:sz w:val="24"/>
          <w:highlight w:val="none"/>
        </w:rPr>
        <w:t>地点进行书面澄清</w:t>
      </w:r>
      <w:r>
        <w:rPr>
          <w:rFonts w:hint="eastAsia" w:cs="仿宋_GB2312"/>
          <w:color w:val="auto"/>
          <w:spacing w:val="7"/>
          <w:sz w:val="24"/>
          <w:highlight w:val="none"/>
        </w:rPr>
        <w:t>、</w:t>
      </w:r>
      <w:r>
        <w:rPr>
          <w:rFonts w:hint="eastAsia" w:cs="仿宋_GB2312"/>
          <w:color w:val="auto"/>
          <w:spacing w:val="6"/>
          <w:sz w:val="24"/>
          <w:highlight w:val="none"/>
        </w:rPr>
        <w:t>说明或者补正</w:t>
      </w:r>
      <w:r>
        <w:rPr>
          <w:rFonts w:hint="eastAsia" w:cs="仿宋_GB2312"/>
          <w:color w:val="auto"/>
          <w:spacing w:val="7"/>
          <w:sz w:val="24"/>
          <w:highlight w:val="none"/>
        </w:rPr>
        <w:t>，</w:t>
      </w:r>
      <w:r>
        <w:rPr>
          <w:rFonts w:hint="eastAsia" w:cs="仿宋_GB2312"/>
          <w:color w:val="auto"/>
          <w:spacing w:val="6"/>
          <w:sz w:val="24"/>
          <w:highlight w:val="none"/>
        </w:rPr>
        <w:t>评标委员会将视作投标人放弃澄清</w:t>
      </w:r>
      <w:r>
        <w:rPr>
          <w:rFonts w:hint="eastAsia" w:cs="仿宋_GB2312"/>
          <w:color w:val="auto"/>
          <w:spacing w:val="7"/>
          <w:sz w:val="24"/>
          <w:highlight w:val="none"/>
        </w:rPr>
        <w:t>、说明或者补正</w:t>
      </w:r>
      <w:r>
        <w:rPr>
          <w:rFonts w:hint="eastAsia" w:cs="仿宋_GB2312"/>
          <w:color w:val="auto"/>
          <w:spacing w:val="8"/>
          <w:sz w:val="24"/>
          <w:highlight w:val="none"/>
        </w:rPr>
        <w:t>。</w:t>
      </w:r>
    </w:p>
    <w:p w14:paraId="18F75E92">
      <w:pPr>
        <w:spacing w:line="440" w:lineRule="exact"/>
        <w:ind w:left="11" w:right="68" w:firstLine="411"/>
        <w:contextualSpacing/>
        <w:rPr>
          <w:rFonts w:cs="仿宋_GB2312"/>
          <w:color w:val="auto"/>
          <w:sz w:val="24"/>
          <w:highlight w:val="none"/>
        </w:rPr>
      </w:pPr>
      <w:r>
        <w:rPr>
          <w:rFonts w:hint="eastAsia" w:cs="仿宋_GB2312"/>
          <w:color w:val="auto"/>
          <w:spacing w:val="6"/>
          <w:sz w:val="24"/>
          <w:highlight w:val="none"/>
        </w:rPr>
        <w:t xml:space="preserve">6.2 </w:t>
      </w:r>
      <w:r>
        <w:rPr>
          <w:rFonts w:hint="eastAsia" w:cs="仿宋_GB2312"/>
          <w:color w:val="auto"/>
          <w:spacing w:val="11"/>
          <w:sz w:val="24"/>
          <w:highlight w:val="none"/>
        </w:rPr>
        <w:t>有关澄清、说明与补正，投标人应以书面形式进行，对投标报价和实</w:t>
      </w:r>
      <w:r>
        <w:rPr>
          <w:rFonts w:hint="eastAsia" w:cs="仿宋_GB2312"/>
          <w:color w:val="auto"/>
          <w:spacing w:val="10"/>
          <w:sz w:val="24"/>
          <w:highlight w:val="none"/>
        </w:rPr>
        <w:t>质性的内容不得更改</w:t>
      </w:r>
      <w:r>
        <w:rPr>
          <w:rFonts w:hint="eastAsia" w:cs="仿宋_GB2312"/>
          <w:color w:val="auto"/>
          <w:spacing w:val="9"/>
          <w:sz w:val="24"/>
          <w:highlight w:val="none"/>
        </w:rPr>
        <w:t>（报价修正除外</w:t>
      </w:r>
      <w:r>
        <w:rPr>
          <w:rFonts w:hint="eastAsia" w:cs="仿宋_GB2312"/>
          <w:color w:val="auto"/>
          <w:spacing w:val="11"/>
          <w:sz w:val="24"/>
          <w:highlight w:val="none"/>
        </w:rPr>
        <w:t>）。</w:t>
      </w:r>
      <w:r>
        <w:rPr>
          <w:rFonts w:hint="eastAsia" w:cs="仿宋_GB2312"/>
          <w:color w:val="auto"/>
          <w:spacing w:val="9"/>
          <w:sz w:val="24"/>
          <w:highlight w:val="none"/>
        </w:rPr>
        <w:t>投标人的书面澄清</w:t>
      </w:r>
      <w:r>
        <w:rPr>
          <w:rFonts w:hint="eastAsia" w:cs="仿宋_GB2312"/>
          <w:color w:val="auto"/>
          <w:spacing w:val="11"/>
          <w:sz w:val="24"/>
          <w:highlight w:val="none"/>
        </w:rPr>
        <w:t>、</w:t>
      </w:r>
      <w:r>
        <w:rPr>
          <w:rFonts w:hint="eastAsia" w:cs="仿宋_GB2312"/>
          <w:color w:val="auto"/>
          <w:spacing w:val="9"/>
          <w:sz w:val="24"/>
          <w:highlight w:val="none"/>
        </w:rPr>
        <w:t>说明和补正属于投标文件的组成部分</w:t>
      </w:r>
      <w:r>
        <w:rPr>
          <w:rFonts w:hint="eastAsia" w:cs="仿宋_GB2312"/>
          <w:color w:val="auto"/>
          <w:spacing w:val="10"/>
          <w:sz w:val="24"/>
          <w:highlight w:val="none"/>
        </w:rPr>
        <w:t>。</w:t>
      </w:r>
    </w:p>
    <w:p w14:paraId="64F3C168">
      <w:pPr>
        <w:spacing w:line="440" w:lineRule="exact"/>
        <w:ind w:left="21" w:right="77" w:firstLine="402"/>
        <w:contextualSpacing/>
        <w:rPr>
          <w:rFonts w:cs="仿宋_GB2312"/>
          <w:color w:val="auto"/>
          <w:sz w:val="24"/>
          <w:highlight w:val="none"/>
        </w:rPr>
      </w:pPr>
      <w:r>
        <w:rPr>
          <w:rFonts w:hint="eastAsia" w:cs="仿宋_GB2312"/>
          <w:color w:val="auto"/>
          <w:spacing w:val="7"/>
          <w:sz w:val="24"/>
          <w:highlight w:val="none"/>
        </w:rPr>
        <w:t xml:space="preserve">6.3 </w:t>
      </w:r>
      <w:r>
        <w:rPr>
          <w:rFonts w:hint="eastAsia" w:cs="仿宋_GB2312"/>
          <w:color w:val="auto"/>
          <w:spacing w:val="11"/>
          <w:sz w:val="24"/>
          <w:highlight w:val="none"/>
        </w:rPr>
        <w:t>评标委员会对投标人提交</w:t>
      </w:r>
      <w:r>
        <w:rPr>
          <w:rFonts w:hint="eastAsia" w:cs="仿宋_GB2312"/>
          <w:color w:val="auto"/>
          <w:spacing w:val="10"/>
          <w:sz w:val="24"/>
          <w:highlight w:val="none"/>
        </w:rPr>
        <w:t>的澄清</w:t>
      </w:r>
      <w:r>
        <w:rPr>
          <w:rFonts w:hint="eastAsia" w:cs="仿宋_GB2312"/>
          <w:color w:val="auto"/>
          <w:spacing w:val="12"/>
          <w:sz w:val="24"/>
          <w:highlight w:val="none"/>
        </w:rPr>
        <w:t>、</w:t>
      </w:r>
      <w:r>
        <w:rPr>
          <w:rFonts w:hint="eastAsia" w:cs="仿宋_GB2312"/>
          <w:color w:val="auto"/>
          <w:spacing w:val="10"/>
          <w:sz w:val="24"/>
          <w:highlight w:val="none"/>
        </w:rPr>
        <w:t>说明或补正有疑问的</w:t>
      </w:r>
      <w:r>
        <w:rPr>
          <w:rFonts w:hint="eastAsia" w:cs="仿宋_GB2312"/>
          <w:color w:val="auto"/>
          <w:spacing w:val="12"/>
          <w:sz w:val="24"/>
          <w:highlight w:val="none"/>
        </w:rPr>
        <w:t>，</w:t>
      </w:r>
      <w:r>
        <w:rPr>
          <w:rFonts w:hint="eastAsia" w:cs="仿宋_GB2312"/>
          <w:color w:val="auto"/>
          <w:spacing w:val="10"/>
          <w:sz w:val="24"/>
          <w:highlight w:val="none"/>
        </w:rPr>
        <w:t>可以要求投标人进一步澄清</w:t>
      </w:r>
      <w:r>
        <w:rPr>
          <w:rFonts w:hint="eastAsia" w:cs="仿宋_GB2312"/>
          <w:color w:val="auto"/>
          <w:spacing w:val="12"/>
          <w:sz w:val="24"/>
          <w:highlight w:val="none"/>
        </w:rPr>
        <w:t>、</w:t>
      </w:r>
      <w:r>
        <w:rPr>
          <w:rFonts w:hint="eastAsia" w:cs="仿宋_GB2312"/>
          <w:color w:val="auto"/>
          <w:spacing w:val="10"/>
          <w:sz w:val="24"/>
          <w:highlight w:val="none"/>
        </w:rPr>
        <w:t>说</w:t>
      </w:r>
      <w:r>
        <w:rPr>
          <w:rFonts w:hint="eastAsia" w:cs="仿宋_GB2312"/>
          <w:color w:val="auto"/>
          <w:spacing w:val="8"/>
          <w:sz w:val="24"/>
          <w:highlight w:val="none"/>
        </w:rPr>
        <w:t>明或补正</w:t>
      </w:r>
      <w:r>
        <w:rPr>
          <w:rFonts w:hint="eastAsia" w:cs="仿宋_GB2312"/>
          <w:color w:val="auto"/>
          <w:spacing w:val="9"/>
          <w:sz w:val="24"/>
          <w:highlight w:val="none"/>
        </w:rPr>
        <w:t>，</w:t>
      </w:r>
      <w:r>
        <w:rPr>
          <w:rFonts w:hint="eastAsia" w:cs="仿宋_GB2312"/>
          <w:color w:val="auto"/>
          <w:spacing w:val="8"/>
          <w:sz w:val="24"/>
          <w:highlight w:val="none"/>
        </w:rPr>
        <w:t>直至满足评标委员</w:t>
      </w:r>
      <w:r>
        <w:rPr>
          <w:rFonts w:hint="eastAsia" w:cs="仿宋_GB2312"/>
          <w:color w:val="auto"/>
          <w:spacing w:val="7"/>
          <w:sz w:val="24"/>
          <w:highlight w:val="none"/>
        </w:rPr>
        <w:t>会的要求</w:t>
      </w:r>
      <w:r>
        <w:rPr>
          <w:rFonts w:hint="eastAsia" w:cs="仿宋_GB2312"/>
          <w:color w:val="auto"/>
          <w:spacing w:val="9"/>
          <w:sz w:val="24"/>
          <w:highlight w:val="none"/>
        </w:rPr>
        <w:t>。</w:t>
      </w:r>
    </w:p>
    <w:p w14:paraId="764F9FB9">
      <w:pPr>
        <w:spacing w:line="440" w:lineRule="exact"/>
        <w:ind w:firstLine="542"/>
        <w:contextualSpacing/>
        <w:rPr>
          <w:rFonts w:cs="仿宋_GB2312"/>
          <w:color w:val="auto"/>
          <w:spacing w:val="10"/>
          <w:sz w:val="24"/>
          <w:highlight w:val="none"/>
        </w:rPr>
      </w:pPr>
      <w:r>
        <w:rPr>
          <w:rFonts w:hint="eastAsia" w:cs="仿宋_GB2312"/>
          <w:color w:val="auto"/>
          <w:spacing w:val="10"/>
          <w:sz w:val="24"/>
          <w:highlight w:val="none"/>
        </w:rPr>
        <w:t>6.4评标委员会不接受投标人主动提出的澄清、说明或补正。</w:t>
      </w:r>
    </w:p>
    <w:p w14:paraId="67AF8074">
      <w:pPr>
        <w:spacing w:line="440" w:lineRule="exact"/>
        <w:ind w:firstLine="542"/>
        <w:contextualSpacing/>
        <w:rPr>
          <w:rFonts w:cs="仿宋_GB2312"/>
          <w:color w:val="auto"/>
          <w:spacing w:val="10"/>
          <w:sz w:val="24"/>
          <w:highlight w:val="none"/>
        </w:rPr>
      </w:pPr>
      <w:r>
        <w:rPr>
          <w:rFonts w:hint="eastAsia" w:cs="仿宋_GB2312"/>
          <w:color w:val="auto"/>
          <w:spacing w:val="10"/>
          <w:sz w:val="24"/>
          <w:highlight w:val="none"/>
        </w:rPr>
        <w:t>6.5 投标报价出现前后不一致的，评标委员会应按照下列原则修正：</w:t>
      </w:r>
    </w:p>
    <w:p w14:paraId="52DFD2E8">
      <w:pPr>
        <w:spacing w:line="440" w:lineRule="exact"/>
        <w:ind w:firstLine="542"/>
        <w:contextualSpacing/>
        <w:rPr>
          <w:rFonts w:cs="仿宋_GB2312"/>
          <w:color w:val="auto"/>
          <w:spacing w:val="10"/>
          <w:sz w:val="24"/>
          <w:highlight w:val="none"/>
        </w:rPr>
      </w:pPr>
      <w:r>
        <w:rPr>
          <w:rFonts w:hint="eastAsia" w:cs="仿宋_GB2312"/>
          <w:color w:val="auto"/>
          <w:spacing w:val="10"/>
          <w:sz w:val="24"/>
          <w:highlight w:val="none"/>
        </w:rPr>
        <w:t>（1）正本与副本不一致时，以正本为准；</w:t>
      </w:r>
    </w:p>
    <w:p w14:paraId="6FAAF647">
      <w:pPr>
        <w:spacing w:line="440" w:lineRule="exact"/>
        <w:ind w:firstLine="542"/>
        <w:contextualSpacing/>
        <w:rPr>
          <w:rFonts w:cs="仿宋_GB2312"/>
          <w:color w:val="auto"/>
          <w:spacing w:val="10"/>
          <w:sz w:val="24"/>
          <w:highlight w:val="none"/>
        </w:rPr>
      </w:pPr>
      <w:r>
        <w:rPr>
          <w:rFonts w:hint="eastAsia" w:cs="仿宋_GB2312"/>
          <w:color w:val="auto"/>
          <w:spacing w:val="10"/>
          <w:sz w:val="24"/>
          <w:highlight w:val="none"/>
        </w:rPr>
        <w:t>（2）对不同文字文本投标文件的解释发生异议的，以中文文本为准；</w:t>
      </w:r>
    </w:p>
    <w:p w14:paraId="0CB7067F">
      <w:pPr>
        <w:spacing w:line="440" w:lineRule="exact"/>
        <w:ind w:firstLine="542"/>
        <w:contextualSpacing/>
        <w:rPr>
          <w:rFonts w:cs="仿宋_GB2312"/>
          <w:color w:val="auto"/>
          <w:spacing w:val="10"/>
          <w:sz w:val="24"/>
          <w:highlight w:val="none"/>
        </w:rPr>
      </w:pPr>
      <w:r>
        <w:rPr>
          <w:rFonts w:hint="eastAsia" w:cs="仿宋_GB2312"/>
          <w:color w:val="auto"/>
          <w:spacing w:val="10"/>
          <w:sz w:val="24"/>
          <w:highlight w:val="none"/>
        </w:rPr>
        <w:t>（3）投标函总价与投标报价明细表合计金额不一致的，以投标函为准；但投标函存在明显单位、文字错误的，则澄清、说明、补正；</w:t>
      </w:r>
    </w:p>
    <w:p w14:paraId="6480DD9F">
      <w:pPr>
        <w:spacing w:line="440" w:lineRule="exact"/>
        <w:ind w:firstLine="542"/>
        <w:contextualSpacing/>
        <w:rPr>
          <w:rFonts w:cs="仿宋_GB2312"/>
          <w:color w:val="auto"/>
          <w:spacing w:val="10"/>
          <w:sz w:val="24"/>
          <w:highlight w:val="none"/>
        </w:rPr>
      </w:pPr>
      <w:r>
        <w:rPr>
          <w:rFonts w:hint="eastAsia" w:cs="仿宋_GB2312"/>
          <w:color w:val="auto"/>
          <w:spacing w:val="10"/>
          <w:sz w:val="24"/>
          <w:highlight w:val="none"/>
        </w:rPr>
        <w:t>（4）投标报价明细表合计金额与按综合单价汇总金额不一致的，以合计金额为准，修改综合单价；</w:t>
      </w:r>
    </w:p>
    <w:p w14:paraId="3EC31266">
      <w:pPr>
        <w:spacing w:line="440" w:lineRule="exact"/>
        <w:ind w:firstLine="542"/>
        <w:contextualSpacing/>
        <w:rPr>
          <w:rFonts w:cs="仿宋_GB2312"/>
          <w:color w:val="auto"/>
          <w:spacing w:val="10"/>
          <w:sz w:val="24"/>
          <w:highlight w:val="none"/>
        </w:rPr>
      </w:pPr>
      <w:r>
        <w:rPr>
          <w:rFonts w:hint="eastAsia" w:cs="仿宋_GB2312"/>
          <w:color w:val="auto"/>
          <w:spacing w:val="10"/>
          <w:sz w:val="24"/>
          <w:highlight w:val="none"/>
        </w:rPr>
        <w:t>（5）大写金额和小写金额不一致的，以大写金额为准；但大写有明显单位、文字错误的除外；</w:t>
      </w:r>
    </w:p>
    <w:p w14:paraId="5CA5B3A3">
      <w:pPr>
        <w:spacing w:line="440" w:lineRule="exact"/>
        <w:ind w:firstLine="542"/>
        <w:contextualSpacing/>
        <w:rPr>
          <w:rFonts w:cs="仿宋_GB2312"/>
          <w:color w:val="auto"/>
          <w:spacing w:val="10"/>
          <w:sz w:val="24"/>
          <w:highlight w:val="none"/>
        </w:rPr>
      </w:pPr>
      <w:r>
        <w:rPr>
          <w:rFonts w:hint="eastAsia" w:cs="仿宋_GB2312"/>
          <w:color w:val="auto"/>
          <w:spacing w:val="10"/>
          <w:sz w:val="24"/>
          <w:highlight w:val="none"/>
        </w:rPr>
        <w:t>（6）计量单位与第二章“投标人须知”第1.12款不符的，按招标文件规定进行修正。</w:t>
      </w:r>
    </w:p>
    <w:p w14:paraId="5BE95339">
      <w:pPr>
        <w:pStyle w:val="9"/>
        <w:rPr>
          <w:rFonts w:eastAsia="仿宋_GB2312" w:cs="仿宋_GB2312"/>
          <w:color w:val="auto"/>
          <w:sz w:val="24"/>
          <w:szCs w:val="24"/>
          <w:highlight w:val="none"/>
        </w:rPr>
      </w:pPr>
    </w:p>
    <w:p w14:paraId="212A97D6">
      <w:pPr>
        <w:pStyle w:val="4"/>
        <w:spacing w:before="140" w:after="140" w:line="360" w:lineRule="auto"/>
        <w:jc w:val="center"/>
        <w:rPr>
          <w:rFonts w:ascii="Times New Roman" w:hAnsi="Times New Roman" w:eastAsia="仿宋_GB2312" w:cs="仿宋_GB2312"/>
          <w:color w:val="auto"/>
          <w:sz w:val="24"/>
          <w:szCs w:val="24"/>
          <w:highlight w:val="none"/>
        </w:rPr>
      </w:pPr>
      <w:bookmarkStart w:id="113" w:name="_Toc4204"/>
      <w:r>
        <w:rPr>
          <w:rFonts w:hint="eastAsia" w:ascii="Times New Roman" w:hAnsi="Times New Roman" w:eastAsia="仿宋_GB2312" w:cs="仿宋_GB2312"/>
          <w:color w:val="auto"/>
          <w:sz w:val="24"/>
          <w:szCs w:val="24"/>
          <w:highlight w:val="none"/>
        </w:rPr>
        <w:t>7、排序与推荐中标候选人</w:t>
      </w:r>
      <w:bookmarkEnd w:id="113"/>
    </w:p>
    <w:p w14:paraId="7A0FB652">
      <w:pPr>
        <w:spacing w:line="440" w:lineRule="exact"/>
        <w:ind w:firstLine="423"/>
        <w:contextualSpacing/>
        <w:rPr>
          <w:rFonts w:cs="仿宋_GB2312"/>
          <w:color w:val="auto"/>
          <w:spacing w:val="7"/>
          <w:sz w:val="24"/>
          <w:highlight w:val="none"/>
        </w:rPr>
      </w:pPr>
      <w:r>
        <w:rPr>
          <w:rFonts w:hint="eastAsia" w:cs="仿宋_GB2312"/>
          <w:color w:val="auto"/>
          <w:spacing w:val="7"/>
          <w:sz w:val="24"/>
          <w:highlight w:val="none"/>
        </w:rPr>
        <w:t>7.1投标人的综合得分等于资信标、技术标与商务标得分之和。</w:t>
      </w:r>
    </w:p>
    <w:p w14:paraId="47D24FDD">
      <w:pPr>
        <w:spacing w:line="440" w:lineRule="exact"/>
        <w:ind w:firstLine="423"/>
        <w:contextualSpacing/>
        <w:rPr>
          <w:rFonts w:cs="仿宋_GB2312"/>
          <w:color w:val="auto"/>
          <w:spacing w:val="7"/>
          <w:sz w:val="24"/>
          <w:highlight w:val="none"/>
        </w:rPr>
      </w:pPr>
      <w:r>
        <w:rPr>
          <w:rFonts w:hint="eastAsia" w:cs="仿宋_GB2312"/>
          <w:color w:val="auto"/>
          <w:spacing w:val="7"/>
          <w:sz w:val="24"/>
          <w:highlight w:val="none"/>
        </w:rPr>
        <w:t>7.2评标委员会按投标人的综合得分由高至低推荐中标候选人（中标候选人数见投标人须知前附表）。若得分相同，则投标报价低者排名在前；若投标报价也相同，则资信分高者排名在前；若资信分也相同，则由评标委员会按少数服从多数的原则通过投票表决决定排名先后。</w:t>
      </w:r>
    </w:p>
    <w:p w14:paraId="6A4EB6A9">
      <w:pPr>
        <w:pStyle w:val="4"/>
        <w:spacing w:before="140" w:after="140" w:line="360" w:lineRule="auto"/>
        <w:jc w:val="center"/>
        <w:rPr>
          <w:rFonts w:ascii="Times New Roman" w:hAnsi="Times New Roman" w:eastAsia="仿宋_GB2312" w:cs="仿宋_GB2312"/>
          <w:color w:val="auto"/>
          <w:sz w:val="24"/>
          <w:szCs w:val="24"/>
          <w:highlight w:val="none"/>
        </w:rPr>
      </w:pPr>
      <w:bookmarkStart w:id="114" w:name="_Toc31255"/>
      <w:r>
        <w:rPr>
          <w:rFonts w:hint="eastAsia" w:ascii="Times New Roman" w:hAnsi="Times New Roman" w:eastAsia="仿宋_GB2312" w:cs="仿宋_GB2312"/>
          <w:color w:val="auto"/>
          <w:sz w:val="24"/>
          <w:szCs w:val="24"/>
          <w:highlight w:val="none"/>
        </w:rPr>
        <w:t>8、完成评标报告</w:t>
      </w:r>
      <w:bookmarkEnd w:id="114"/>
    </w:p>
    <w:p w14:paraId="68C26861">
      <w:pPr>
        <w:spacing w:line="400" w:lineRule="exact"/>
        <w:ind w:right="2" w:firstLine="422"/>
        <w:rPr>
          <w:rFonts w:cs="仿宋_GB2312"/>
          <w:color w:val="auto"/>
          <w:sz w:val="24"/>
          <w:highlight w:val="none"/>
        </w:rPr>
      </w:pPr>
      <w:r>
        <w:rPr>
          <w:rFonts w:hint="eastAsia" w:cs="仿宋_GB2312"/>
          <w:color w:val="auto"/>
          <w:spacing w:val="6"/>
          <w:sz w:val="24"/>
          <w:highlight w:val="none"/>
        </w:rPr>
        <w:t xml:space="preserve">8.1 </w:t>
      </w:r>
      <w:r>
        <w:rPr>
          <w:rFonts w:hint="eastAsia" w:cs="仿宋_GB2312"/>
          <w:color w:val="auto"/>
          <w:spacing w:val="11"/>
          <w:sz w:val="24"/>
          <w:highlight w:val="none"/>
        </w:rPr>
        <w:t>评标委员会完成评标后，应当根据全体评标成员签字的原始评标记录和</w:t>
      </w:r>
      <w:r>
        <w:rPr>
          <w:rFonts w:hint="eastAsia" w:cs="仿宋_GB2312"/>
          <w:color w:val="auto"/>
          <w:spacing w:val="10"/>
          <w:sz w:val="24"/>
          <w:highlight w:val="none"/>
        </w:rPr>
        <w:t>评标结果编写评标</w:t>
      </w:r>
      <w:r>
        <w:rPr>
          <w:rFonts w:hint="eastAsia" w:cs="仿宋_GB2312"/>
          <w:color w:val="auto"/>
          <w:spacing w:val="8"/>
          <w:sz w:val="24"/>
          <w:highlight w:val="none"/>
        </w:rPr>
        <w:t>报告，并推荐中标候选人，评审报告由评标委员会成员</w:t>
      </w:r>
      <w:r>
        <w:rPr>
          <w:rFonts w:hint="eastAsia" w:cs="仿宋_GB2312"/>
          <w:color w:val="auto"/>
          <w:spacing w:val="7"/>
          <w:sz w:val="24"/>
          <w:highlight w:val="none"/>
        </w:rPr>
        <w:t>签字确认提交招标人</w:t>
      </w:r>
      <w:r>
        <w:rPr>
          <w:rFonts w:hint="eastAsia" w:cs="仿宋_GB2312"/>
          <w:color w:val="auto"/>
          <w:spacing w:val="8"/>
          <w:sz w:val="24"/>
          <w:highlight w:val="none"/>
        </w:rPr>
        <w:t>，</w:t>
      </w:r>
      <w:r>
        <w:rPr>
          <w:rFonts w:hint="eastAsia" w:cs="仿宋_GB2312"/>
          <w:color w:val="auto"/>
          <w:spacing w:val="7"/>
          <w:sz w:val="24"/>
          <w:highlight w:val="none"/>
        </w:rPr>
        <w:t>并抄送有关监督部门</w:t>
      </w:r>
      <w:r>
        <w:rPr>
          <w:rFonts w:hint="eastAsia" w:cs="仿宋_GB2312"/>
          <w:color w:val="auto"/>
          <w:spacing w:val="8"/>
          <w:sz w:val="24"/>
          <w:highlight w:val="none"/>
        </w:rPr>
        <w:t>。</w:t>
      </w:r>
    </w:p>
    <w:p w14:paraId="052B3C2A">
      <w:pPr>
        <w:spacing w:line="400" w:lineRule="exact"/>
        <w:ind w:left="3" w:right="2" w:firstLine="419"/>
        <w:rPr>
          <w:rFonts w:cs="仿宋_GB2312"/>
          <w:color w:val="auto"/>
          <w:sz w:val="24"/>
          <w:highlight w:val="none"/>
        </w:rPr>
      </w:pPr>
      <w:r>
        <w:rPr>
          <w:rFonts w:hint="eastAsia" w:cs="仿宋_GB2312"/>
          <w:color w:val="auto"/>
          <w:spacing w:val="6"/>
          <w:sz w:val="24"/>
          <w:highlight w:val="none"/>
        </w:rPr>
        <w:t xml:space="preserve">8.2 </w:t>
      </w:r>
      <w:r>
        <w:rPr>
          <w:rFonts w:hint="eastAsia" w:cs="仿宋_GB2312"/>
          <w:color w:val="auto"/>
          <w:spacing w:val="11"/>
          <w:sz w:val="24"/>
          <w:highlight w:val="none"/>
        </w:rPr>
        <w:t>评标委员会成员对需要共同认定的事项存在争议的，应当按照少数服从</w:t>
      </w:r>
      <w:r>
        <w:rPr>
          <w:rFonts w:hint="eastAsia" w:cs="仿宋_GB2312"/>
          <w:color w:val="auto"/>
          <w:spacing w:val="10"/>
          <w:sz w:val="24"/>
          <w:highlight w:val="none"/>
        </w:rPr>
        <w:t>多数的原则作出结</w:t>
      </w:r>
      <w:r>
        <w:rPr>
          <w:rFonts w:hint="eastAsia" w:cs="仿宋_GB2312"/>
          <w:color w:val="auto"/>
          <w:spacing w:val="8"/>
          <w:sz w:val="24"/>
          <w:highlight w:val="none"/>
        </w:rPr>
        <w:t>论。持不同意见的评标委员会成员应当在评标</w:t>
      </w:r>
      <w:r>
        <w:rPr>
          <w:rFonts w:hint="eastAsia" w:cs="仿宋_GB2312"/>
          <w:color w:val="auto"/>
          <w:spacing w:val="7"/>
          <w:sz w:val="24"/>
          <w:highlight w:val="none"/>
        </w:rPr>
        <w:t>报告上签署不同意见及理由</w:t>
      </w:r>
      <w:r>
        <w:rPr>
          <w:rFonts w:hint="eastAsia" w:cs="仿宋_GB2312"/>
          <w:color w:val="auto"/>
          <w:spacing w:val="8"/>
          <w:sz w:val="24"/>
          <w:highlight w:val="none"/>
        </w:rPr>
        <w:t>，</w:t>
      </w:r>
      <w:r>
        <w:rPr>
          <w:rFonts w:hint="eastAsia" w:cs="仿宋_GB2312"/>
          <w:color w:val="auto"/>
          <w:spacing w:val="7"/>
          <w:sz w:val="24"/>
          <w:highlight w:val="none"/>
        </w:rPr>
        <w:t>否则视为同意评标报告</w:t>
      </w:r>
      <w:r>
        <w:rPr>
          <w:rFonts w:hint="eastAsia" w:cs="仿宋_GB2312"/>
          <w:color w:val="auto"/>
          <w:spacing w:val="8"/>
          <w:sz w:val="24"/>
          <w:highlight w:val="none"/>
        </w:rPr>
        <w:t>。</w:t>
      </w:r>
    </w:p>
    <w:p w14:paraId="66AFD273">
      <w:pPr>
        <w:spacing w:line="400" w:lineRule="exact"/>
        <w:ind w:firstLine="422"/>
        <w:rPr>
          <w:rFonts w:cs="仿宋_GB2312"/>
          <w:color w:val="auto"/>
          <w:sz w:val="24"/>
          <w:highlight w:val="none"/>
        </w:rPr>
      </w:pPr>
      <w:r>
        <w:rPr>
          <w:rFonts w:hint="eastAsia" w:cs="仿宋_GB2312"/>
          <w:color w:val="auto"/>
          <w:spacing w:val="3"/>
          <w:sz w:val="24"/>
          <w:highlight w:val="none"/>
        </w:rPr>
        <w:t xml:space="preserve">8.3 </w:t>
      </w:r>
      <w:r>
        <w:rPr>
          <w:rFonts w:hint="eastAsia" w:cs="仿宋_GB2312"/>
          <w:color w:val="auto"/>
          <w:spacing w:val="5"/>
          <w:sz w:val="24"/>
          <w:highlight w:val="none"/>
        </w:rPr>
        <w:t>评标报告应包</w:t>
      </w:r>
      <w:r>
        <w:rPr>
          <w:rFonts w:hint="eastAsia" w:cs="仿宋_GB2312"/>
          <w:color w:val="auto"/>
          <w:spacing w:val="4"/>
          <w:sz w:val="24"/>
          <w:highlight w:val="none"/>
        </w:rPr>
        <w:t>括以下内容</w:t>
      </w:r>
      <w:r>
        <w:rPr>
          <w:rFonts w:hint="eastAsia" w:cs="仿宋_GB2312"/>
          <w:color w:val="auto"/>
          <w:spacing w:val="5"/>
          <w:sz w:val="24"/>
          <w:highlight w:val="none"/>
        </w:rPr>
        <w:t>：</w:t>
      </w:r>
    </w:p>
    <w:p w14:paraId="022972A7">
      <w:pPr>
        <w:spacing w:line="400" w:lineRule="exact"/>
        <w:ind w:firstLine="431"/>
        <w:rPr>
          <w:rFonts w:cs="仿宋_GB2312"/>
          <w:color w:val="auto"/>
          <w:sz w:val="24"/>
          <w:highlight w:val="none"/>
        </w:rPr>
      </w:pPr>
      <w:r>
        <w:rPr>
          <w:rFonts w:hint="eastAsia" w:cs="仿宋_GB2312"/>
          <w:color w:val="auto"/>
          <w:spacing w:val="6"/>
          <w:sz w:val="24"/>
          <w:highlight w:val="none"/>
        </w:rPr>
        <w:t>（</w:t>
      </w:r>
      <w:r>
        <w:rPr>
          <w:rFonts w:hint="eastAsia" w:cs="仿宋_GB2312"/>
          <w:color w:val="auto"/>
          <w:spacing w:val="3"/>
          <w:sz w:val="24"/>
          <w:highlight w:val="none"/>
        </w:rPr>
        <w:t>1</w:t>
      </w:r>
      <w:r>
        <w:rPr>
          <w:rFonts w:hint="eastAsia" w:cs="仿宋_GB2312"/>
          <w:color w:val="auto"/>
          <w:spacing w:val="8"/>
          <w:sz w:val="24"/>
          <w:highlight w:val="none"/>
        </w:rPr>
        <w:t>）</w:t>
      </w:r>
      <w:r>
        <w:rPr>
          <w:rFonts w:hint="eastAsia" w:cs="仿宋_GB2312"/>
          <w:color w:val="auto"/>
          <w:spacing w:val="5"/>
          <w:sz w:val="24"/>
          <w:highlight w:val="none"/>
        </w:rPr>
        <w:t>开标记录</w:t>
      </w:r>
      <w:r>
        <w:rPr>
          <w:rFonts w:hint="eastAsia" w:cs="仿宋_GB2312"/>
          <w:color w:val="auto"/>
          <w:spacing w:val="8"/>
          <w:sz w:val="24"/>
          <w:highlight w:val="none"/>
        </w:rPr>
        <w:t>；</w:t>
      </w:r>
    </w:p>
    <w:p w14:paraId="0B20213A">
      <w:pPr>
        <w:spacing w:line="400" w:lineRule="exact"/>
        <w:ind w:firstLine="431"/>
        <w:rPr>
          <w:rFonts w:cs="仿宋_GB2312"/>
          <w:color w:val="auto"/>
          <w:sz w:val="24"/>
          <w:highlight w:val="none"/>
        </w:rPr>
      </w:pPr>
      <w:r>
        <w:rPr>
          <w:rFonts w:hint="eastAsia" w:cs="仿宋_GB2312"/>
          <w:color w:val="auto"/>
          <w:spacing w:val="8"/>
          <w:sz w:val="24"/>
          <w:highlight w:val="none"/>
        </w:rPr>
        <w:t>（</w:t>
      </w:r>
      <w:r>
        <w:rPr>
          <w:rFonts w:hint="eastAsia" w:cs="仿宋_GB2312"/>
          <w:color w:val="auto"/>
          <w:spacing w:val="5"/>
          <w:sz w:val="24"/>
          <w:highlight w:val="none"/>
        </w:rPr>
        <w:t>2</w:t>
      </w:r>
      <w:r>
        <w:rPr>
          <w:rFonts w:hint="eastAsia" w:cs="仿宋_GB2312"/>
          <w:color w:val="auto"/>
          <w:spacing w:val="9"/>
          <w:sz w:val="24"/>
          <w:highlight w:val="none"/>
        </w:rPr>
        <w:t>）</w:t>
      </w:r>
      <w:r>
        <w:rPr>
          <w:rFonts w:hint="eastAsia" w:cs="仿宋_GB2312"/>
          <w:color w:val="auto"/>
          <w:spacing w:val="8"/>
          <w:sz w:val="24"/>
          <w:highlight w:val="none"/>
        </w:rPr>
        <w:t>评标</w:t>
      </w:r>
      <w:r>
        <w:rPr>
          <w:rFonts w:hint="eastAsia" w:cs="仿宋_GB2312"/>
          <w:color w:val="auto"/>
          <w:spacing w:val="7"/>
          <w:sz w:val="24"/>
          <w:highlight w:val="none"/>
        </w:rPr>
        <w:t>内容</w:t>
      </w:r>
      <w:r>
        <w:rPr>
          <w:rFonts w:hint="eastAsia" w:cs="仿宋_GB2312"/>
          <w:color w:val="auto"/>
          <w:spacing w:val="9"/>
          <w:sz w:val="24"/>
          <w:highlight w:val="none"/>
        </w:rPr>
        <w:t>、</w:t>
      </w:r>
      <w:r>
        <w:rPr>
          <w:rFonts w:hint="eastAsia" w:cs="仿宋_GB2312"/>
          <w:color w:val="auto"/>
          <w:spacing w:val="7"/>
          <w:sz w:val="24"/>
          <w:highlight w:val="none"/>
        </w:rPr>
        <w:t>过程和结果</w:t>
      </w:r>
      <w:r>
        <w:rPr>
          <w:rFonts w:hint="eastAsia" w:cs="仿宋_GB2312"/>
          <w:color w:val="auto"/>
          <w:spacing w:val="9"/>
          <w:sz w:val="24"/>
          <w:highlight w:val="none"/>
        </w:rPr>
        <w:t>；</w:t>
      </w:r>
    </w:p>
    <w:p w14:paraId="6AA75628">
      <w:pPr>
        <w:spacing w:line="400" w:lineRule="exact"/>
        <w:ind w:firstLine="431"/>
        <w:rPr>
          <w:rFonts w:cs="仿宋_GB2312"/>
          <w:color w:val="auto"/>
          <w:sz w:val="24"/>
          <w:highlight w:val="none"/>
        </w:rPr>
      </w:pPr>
      <w:r>
        <w:rPr>
          <w:rFonts w:hint="eastAsia" w:cs="仿宋_GB2312"/>
          <w:color w:val="auto"/>
          <w:spacing w:val="6"/>
          <w:sz w:val="24"/>
          <w:highlight w:val="none"/>
        </w:rPr>
        <w:t>（</w:t>
      </w:r>
      <w:r>
        <w:rPr>
          <w:rFonts w:hint="eastAsia" w:cs="仿宋_GB2312"/>
          <w:color w:val="auto"/>
          <w:spacing w:val="3"/>
          <w:sz w:val="24"/>
          <w:highlight w:val="none"/>
        </w:rPr>
        <w:t>3</w:t>
      </w:r>
      <w:r>
        <w:rPr>
          <w:rFonts w:hint="eastAsia" w:cs="仿宋_GB2312"/>
          <w:color w:val="auto"/>
          <w:spacing w:val="8"/>
          <w:sz w:val="24"/>
          <w:highlight w:val="none"/>
        </w:rPr>
        <w:t>）</w:t>
      </w:r>
      <w:r>
        <w:rPr>
          <w:rFonts w:hint="eastAsia" w:cs="仿宋_GB2312"/>
          <w:color w:val="auto"/>
          <w:spacing w:val="6"/>
          <w:sz w:val="24"/>
          <w:highlight w:val="none"/>
        </w:rPr>
        <w:t>否决投标情况说明及依据（包括对投标竞争性认定的理由（若有</w:t>
      </w:r>
      <w:r>
        <w:rPr>
          <w:rFonts w:hint="eastAsia" w:cs="仿宋_GB2312"/>
          <w:color w:val="auto"/>
          <w:spacing w:val="7"/>
          <w:sz w:val="24"/>
          <w:highlight w:val="none"/>
        </w:rPr>
        <w:t>））；</w:t>
      </w:r>
    </w:p>
    <w:p w14:paraId="30A1342F">
      <w:pPr>
        <w:spacing w:line="400" w:lineRule="exact"/>
        <w:ind w:firstLine="431"/>
        <w:rPr>
          <w:rFonts w:cs="仿宋_GB2312"/>
          <w:color w:val="auto"/>
          <w:sz w:val="24"/>
          <w:highlight w:val="none"/>
        </w:rPr>
      </w:pPr>
      <w:r>
        <w:rPr>
          <w:rFonts w:hint="eastAsia" w:cs="仿宋_GB2312"/>
          <w:color w:val="auto"/>
          <w:spacing w:val="7"/>
          <w:sz w:val="24"/>
          <w:highlight w:val="none"/>
        </w:rPr>
        <w:t>（</w:t>
      </w:r>
      <w:r>
        <w:rPr>
          <w:rFonts w:hint="eastAsia" w:cs="仿宋_GB2312"/>
          <w:color w:val="auto"/>
          <w:spacing w:val="4"/>
          <w:sz w:val="24"/>
          <w:highlight w:val="none"/>
        </w:rPr>
        <w:t>4</w:t>
      </w:r>
      <w:r>
        <w:rPr>
          <w:rFonts w:hint="eastAsia" w:cs="仿宋_GB2312"/>
          <w:color w:val="auto"/>
          <w:spacing w:val="9"/>
          <w:sz w:val="24"/>
          <w:highlight w:val="none"/>
        </w:rPr>
        <w:t>）</w:t>
      </w:r>
      <w:r>
        <w:rPr>
          <w:rFonts w:hint="eastAsia" w:cs="仿宋_GB2312"/>
          <w:color w:val="auto"/>
          <w:spacing w:val="6"/>
          <w:sz w:val="24"/>
          <w:highlight w:val="none"/>
        </w:rPr>
        <w:t>询标澄清纪要</w:t>
      </w:r>
      <w:r>
        <w:rPr>
          <w:rFonts w:hint="eastAsia" w:cs="仿宋_GB2312"/>
          <w:color w:val="auto"/>
          <w:spacing w:val="9"/>
          <w:sz w:val="24"/>
          <w:highlight w:val="none"/>
        </w:rPr>
        <w:t>；</w:t>
      </w:r>
    </w:p>
    <w:p w14:paraId="335BBCB3">
      <w:pPr>
        <w:spacing w:line="400" w:lineRule="exact"/>
        <w:ind w:firstLine="431"/>
        <w:rPr>
          <w:rFonts w:cs="仿宋_GB2312"/>
          <w:color w:val="auto"/>
          <w:spacing w:val="8"/>
          <w:sz w:val="24"/>
          <w:highlight w:val="none"/>
        </w:rPr>
      </w:pPr>
      <w:r>
        <w:rPr>
          <w:rFonts w:hint="eastAsia" w:cs="仿宋_GB2312"/>
          <w:color w:val="auto"/>
          <w:spacing w:val="9"/>
          <w:sz w:val="24"/>
          <w:highlight w:val="none"/>
        </w:rPr>
        <w:t>（</w:t>
      </w:r>
      <w:r>
        <w:rPr>
          <w:rFonts w:hint="eastAsia" w:cs="仿宋_GB2312"/>
          <w:color w:val="auto"/>
          <w:spacing w:val="4"/>
          <w:sz w:val="24"/>
          <w:highlight w:val="none"/>
        </w:rPr>
        <w:t>5</w:t>
      </w:r>
      <w:r>
        <w:rPr>
          <w:rFonts w:hint="eastAsia" w:cs="仿宋_GB2312"/>
          <w:color w:val="auto"/>
          <w:spacing w:val="10"/>
          <w:sz w:val="24"/>
          <w:highlight w:val="none"/>
        </w:rPr>
        <w:t>）</w:t>
      </w:r>
      <w:r>
        <w:rPr>
          <w:rFonts w:hint="eastAsia" w:cs="仿宋_GB2312"/>
          <w:color w:val="auto"/>
          <w:spacing w:val="8"/>
          <w:sz w:val="24"/>
          <w:highlight w:val="none"/>
        </w:rPr>
        <w:t>中标候选人的优劣对比和存在问题（</w:t>
      </w:r>
      <w:r>
        <w:rPr>
          <w:rFonts w:hint="eastAsia" w:cs="仿宋_GB2312"/>
          <w:color w:val="auto"/>
          <w:spacing w:val="6"/>
          <w:sz w:val="24"/>
          <w:highlight w:val="none"/>
        </w:rPr>
        <w:t>若有</w:t>
      </w:r>
      <w:r>
        <w:rPr>
          <w:rFonts w:hint="eastAsia" w:cs="仿宋_GB2312"/>
          <w:color w:val="auto"/>
          <w:spacing w:val="8"/>
          <w:sz w:val="24"/>
          <w:highlight w:val="none"/>
        </w:rPr>
        <w:t>）；</w:t>
      </w:r>
    </w:p>
    <w:p w14:paraId="6162FFC2">
      <w:pPr>
        <w:spacing w:line="400" w:lineRule="exact"/>
        <w:ind w:firstLine="431"/>
        <w:rPr>
          <w:rFonts w:cs="仿宋_GB2312"/>
          <w:color w:val="auto"/>
          <w:spacing w:val="8"/>
          <w:sz w:val="24"/>
          <w:highlight w:val="none"/>
        </w:rPr>
      </w:pPr>
      <w:r>
        <w:rPr>
          <w:rFonts w:hint="eastAsia" w:cs="仿宋_GB2312"/>
          <w:color w:val="auto"/>
          <w:spacing w:val="8"/>
          <w:sz w:val="24"/>
          <w:highlight w:val="none"/>
        </w:rPr>
        <w:t>（6）评标委员会成员的不同意见及理由（若有）；</w:t>
      </w:r>
    </w:p>
    <w:p w14:paraId="2DFAA26C">
      <w:pPr>
        <w:spacing w:line="400" w:lineRule="exact"/>
        <w:ind w:firstLine="431"/>
        <w:rPr>
          <w:rFonts w:cs="宋体"/>
          <w:b/>
          <w:bCs/>
          <w:color w:val="auto"/>
          <w:sz w:val="36"/>
          <w:szCs w:val="36"/>
          <w:highlight w:val="none"/>
        </w:rPr>
      </w:pPr>
      <w:r>
        <w:rPr>
          <w:rFonts w:hint="eastAsia" w:cs="仿宋_GB2312"/>
          <w:color w:val="auto"/>
          <w:spacing w:val="8"/>
          <w:sz w:val="24"/>
          <w:highlight w:val="none"/>
        </w:rPr>
        <w:t>（7）其他建议。</w:t>
      </w:r>
    </w:p>
    <w:p w14:paraId="0335E720">
      <w:pPr>
        <w:spacing w:line="400" w:lineRule="exact"/>
        <w:ind w:firstLine="3534" w:firstLineChars="1100"/>
        <w:rPr>
          <w:rFonts w:cs="宋体"/>
          <w:b/>
          <w:bCs/>
          <w:color w:val="auto"/>
          <w:highlight w:val="none"/>
        </w:rPr>
      </w:pPr>
    </w:p>
    <w:p w14:paraId="45F05A97">
      <w:pPr>
        <w:widowControl/>
        <w:numPr>
          <w:ilvl w:val="255"/>
          <w:numId w:val="0"/>
        </w:numPr>
        <w:jc w:val="left"/>
        <w:rPr>
          <w:rFonts w:cs="宋体"/>
          <w:b/>
          <w:color w:val="auto"/>
          <w:kern w:val="44"/>
          <w:szCs w:val="44"/>
          <w:highlight w:val="none"/>
        </w:rPr>
      </w:pPr>
      <w:r>
        <w:rPr>
          <w:rFonts w:hint="eastAsia" w:cs="宋体"/>
          <w:b/>
          <w:color w:val="auto"/>
          <w:kern w:val="44"/>
          <w:szCs w:val="44"/>
          <w:highlight w:val="none"/>
        </w:rPr>
        <w:br w:type="page"/>
      </w:r>
    </w:p>
    <w:p w14:paraId="30D033E4">
      <w:pPr>
        <w:widowControl/>
        <w:numPr>
          <w:ilvl w:val="0"/>
          <w:numId w:val="3"/>
        </w:numPr>
        <w:spacing w:line="360" w:lineRule="auto"/>
        <w:jc w:val="center"/>
        <w:outlineLvl w:val="0"/>
        <w:rPr>
          <w:rFonts w:eastAsia="黑体" w:cs="黑体"/>
          <w:bCs/>
          <w:color w:val="auto"/>
          <w:kern w:val="44"/>
          <w:szCs w:val="44"/>
          <w:highlight w:val="none"/>
        </w:rPr>
      </w:pPr>
      <w:bookmarkStart w:id="115" w:name="_Toc32496"/>
      <w:r>
        <w:rPr>
          <w:rFonts w:hint="eastAsia" w:eastAsia="黑体" w:cs="黑体"/>
          <w:bCs/>
          <w:color w:val="auto"/>
          <w:kern w:val="44"/>
          <w:szCs w:val="44"/>
          <w:highlight w:val="none"/>
        </w:rPr>
        <w:t>投标文件格式</w:t>
      </w:r>
      <w:bookmarkEnd w:id="108"/>
      <w:bookmarkEnd w:id="115"/>
    </w:p>
    <w:p w14:paraId="3E6384ED">
      <w:pPr>
        <w:wordWrap w:val="0"/>
        <w:rPr>
          <w:rFonts w:cs="仿宋_GB2312"/>
          <w:b/>
          <w:bCs/>
          <w:color w:val="auto"/>
          <w:sz w:val="24"/>
          <w:highlight w:val="none"/>
        </w:rPr>
      </w:pPr>
      <w:r>
        <w:rPr>
          <w:rFonts w:hint="eastAsia" w:cs="仿宋_GB2312"/>
          <w:b/>
          <w:bCs/>
          <w:color w:val="auto"/>
          <w:sz w:val="24"/>
          <w:highlight w:val="none"/>
        </w:rPr>
        <w:t>投标文件封面格式</w:t>
      </w:r>
    </w:p>
    <w:p w14:paraId="0AEF3C70">
      <w:pPr>
        <w:adjustRightInd w:val="0"/>
        <w:snapToGrid w:val="0"/>
        <w:spacing w:line="360" w:lineRule="auto"/>
        <w:ind w:firstLine="480" w:firstLineChars="200"/>
        <w:jc w:val="center"/>
        <w:rPr>
          <w:rFonts w:cs="仿宋_GB2312"/>
          <w:snapToGrid w:val="0"/>
          <w:color w:val="auto"/>
          <w:kern w:val="0"/>
          <w:sz w:val="24"/>
          <w:highlight w:val="none"/>
        </w:rPr>
      </w:pPr>
    </w:p>
    <w:p w14:paraId="16EE3AFB">
      <w:pPr>
        <w:adjustRightInd w:val="0"/>
        <w:snapToGrid w:val="0"/>
        <w:spacing w:line="360" w:lineRule="auto"/>
        <w:ind w:right="420" w:firstLine="7920" w:firstLineChars="3300"/>
        <w:rPr>
          <w:rFonts w:cs="仿宋_GB2312"/>
          <w:color w:val="auto"/>
          <w:sz w:val="24"/>
          <w:highlight w:val="none"/>
        </w:rPr>
      </w:pPr>
      <w:r>
        <w:rPr>
          <w:rFonts w:hint="eastAsia" w:cs="仿宋_GB2312"/>
          <w:color w:val="auto"/>
          <w:sz w:val="24"/>
          <w:highlight w:val="none"/>
        </w:rPr>
        <w:t>正本/副本</w:t>
      </w:r>
    </w:p>
    <w:p w14:paraId="4C595BB1">
      <w:pPr>
        <w:wordWrap w:val="0"/>
        <w:spacing w:line="440" w:lineRule="exact"/>
        <w:ind w:firstLine="2160" w:firstLineChars="600"/>
        <w:rPr>
          <w:rFonts w:cs="仿宋_GB2312"/>
          <w:color w:val="auto"/>
          <w:sz w:val="36"/>
          <w:szCs w:val="36"/>
          <w:highlight w:val="none"/>
        </w:rPr>
      </w:pPr>
    </w:p>
    <w:p w14:paraId="1B1F6B19">
      <w:pPr>
        <w:wordWrap w:val="0"/>
        <w:spacing w:line="440" w:lineRule="exact"/>
        <w:ind w:firstLine="2160" w:firstLineChars="600"/>
        <w:rPr>
          <w:rFonts w:cs="仿宋_GB2312"/>
          <w:color w:val="auto"/>
          <w:sz w:val="36"/>
          <w:szCs w:val="36"/>
          <w:highlight w:val="none"/>
        </w:rPr>
      </w:pPr>
    </w:p>
    <w:p w14:paraId="1F5C50BC">
      <w:pPr>
        <w:wordWrap w:val="0"/>
        <w:spacing w:line="440" w:lineRule="exact"/>
        <w:ind w:firstLine="2168" w:firstLineChars="600"/>
        <w:rPr>
          <w:rFonts w:cs="仿宋_GB2312"/>
          <w:b/>
          <w:bCs/>
          <w:color w:val="auto"/>
          <w:sz w:val="36"/>
          <w:szCs w:val="36"/>
          <w:highlight w:val="none"/>
        </w:rPr>
      </w:pPr>
      <w:r>
        <w:rPr>
          <w:rFonts w:hint="eastAsia" w:cs="仿宋_GB2312"/>
          <w:b/>
          <w:bCs/>
          <w:color w:val="auto"/>
          <w:sz w:val="36"/>
          <w:szCs w:val="36"/>
          <w:highlight w:val="none"/>
        </w:rPr>
        <w:t>项目名称：</w:t>
      </w:r>
      <w:r>
        <w:rPr>
          <w:rFonts w:hint="eastAsia" w:cs="仿宋_GB2312"/>
          <w:b/>
          <w:bCs/>
          <w:color w:val="auto"/>
          <w:sz w:val="36"/>
          <w:szCs w:val="36"/>
          <w:highlight w:val="none"/>
          <w:u w:val="single"/>
        </w:rPr>
        <w:t>2025年—2028年垃圾吊改造项目</w:t>
      </w:r>
    </w:p>
    <w:p w14:paraId="33920E0B">
      <w:pPr>
        <w:wordWrap w:val="0"/>
        <w:spacing w:line="440" w:lineRule="exact"/>
        <w:ind w:firstLine="361" w:firstLineChars="100"/>
        <w:rPr>
          <w:rFonts w:cs="仿宋_GB2312"/>
          <w:b/>
          <w:bCs/>
          <w:color w:val="auto"/>
          <w:sz w:val="36"/>
          <w:szCs w:val="36"/>
          <w:highlight w:val="none"/>
        </w:rPr>
      </w:pPr>
    </w:p>
    <w:p w14:paraId="05319C5C">
      <w:pPr>
        <w:wordWrap w:val="0"/>
        <w:spacing w:line="440" w:lineRule="exact"/>
        <w:ind w:firstLine="2168" w:firstLineChars="600"/>
        <w:rPr>
          <w:rFonts w:cs="仿宋_GB2312"/>
          <w:b/>
          <w:bCs/>
          <w:color w:val="auto"/>
          <w:sz w:val="36"/>
          <w:szCs w:val="36"/>
          <w:highlight w:val="none"/>
        </w:rPr>
      </w:pPr>
      <w:r>
        <w:rPr>
          <w:rFonts w:hint="eastAsia" w:cs="仿宋_GB2312"/>
          <w:b/>
          <w:bCs/>
          <w:color w:val="auto"/>
          <w:sz w:val="36"/>
          <w:szCs w:val="36"/>
          <w:highlight w:val="none"/>
        </w:rPr>
        <w:t>招标编号：</w:t>
      </w:r>
      <w:r>
        <w:rPr>
          <w:rFonts w:hint="eastAsia" w:cs="仿宋_GB2312"/>
          <w:b/>
          <w:bCs/>
          <w:color w:val="auto"/>
          <w:sz w:val="36"/>
          <w:szCs w:val="36"/>
          <w:highlight w:val="none"/>
          <w:u w:val="single"/>
        </w:rPr>
        <w:t xml:space="preserve">  </w:t>
      </w:r>
      <w:r>
        <w:rPr>
          <w:rFonts w:hint="eastAsia" w:cs="仿宋_GB2312"/>
          <w:b/>
          <w:bCs/>
          <w:color w:val="auto"/>
          <w:sz w:val="36"/>
          <w:szCs w:val="36"/>
          <w:highlight w:val="none"/>
          <w:u w:val="single"/>
          <w:lang w:eastAsia="zh-CN"/>
        </w:rPr>
        <w:t>NY-1FZB2505026</w:t>
      </w:r>
      <w:r>
        <w:rPr>
          <w:rFonts w:hint="eastAsia" w:cs="仿宋_GB2312"/>
          <w:b/>
          <w:bCs/>
          <w:color w:val="auto"/>
          <w:sz w:val="36"/>
          <w:szCs w:val="36"/>
          <w:highlight w:val="none"/>
          <w:u w:val="single"/>
        </w:rPr>
        <w:t xml:space="preserve">         </w:t>
      </w:r>
    </w:p>
    <w:p w14:paraId="5B481929">
      <w:pPr>
        <w:wordWrap w:val="0"/>
        <w:spacing w:line="440" w:lineRule="exact"/>
        <w:rPr>
          <w:rFonts w:cs="仿宋_GB2312"/>
          <w:color w:val="auto"/>
          <w:sz w:val="24"/>
          <w:highlight w:val="none"/>
        </w:rPr>
      </w:pPr>
    </w:p>
    <w:p w14:paraId="77FA2C62">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 xml:space="preserve">      </w:t>
      </w:r>
    </w:p>
    <w:p w14:paraId="53859A6B">
      <w:pPr>
        <w:adjustRightInd w:val="0"/>
        <w:snapToGrid w:val="0"/>
        <w:spacing w:line="360" w:lineRule="auto"/>
        <w:jc w:val="center"/>
        <w:rPr>
          <w:rFonts w:cs="仿宋_GB2312"/>
          <w:color w:val="auto"/>
          <w:sz w:val="24"/>
          <w:highlight w:val="none"/>
        </w:rPr>
      </w:pPr>
    </w:p>
    <w:p w14:paraId="4781ED96">
      <w:pPr>
        <w:adjustRightInd w:val="0"/>
        <w:snapToGrid w:val="0"/>
        <w:spacing w:line="360" w:lineRule="auto"/>
        <w:jc w:val="center"/>
        <w:rPr>
          <w:rFonts w:cs="仿宋_GB2312"/>
          <w:bCs/>
          <w:color w:val="auto"/>
          <w:sz w:val="24"/>
          <w:highlight w:val="none"/>
        </w:rPr>
      </w:pPr>
      <w:r>
        <w:rPr>
          <w:rFonts w:hint="eastAsia" w:cs="仿宋_GB2312"/>
          <w:bCs/>
          <w:color w:val="auto"/>
          <w:sz w:val="24"/>
          <w:highlight w:val="none"/>
        </w:rPr>
        <w:t>投 标 文 件</w:t>
      </w:r>
    </w:p>
    <w:p w14:paraId="5E8470DA">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 xml:space="preserve">                   </w:t>
      </w:r>
    </w:p>
    <w:p w14:paraId="19EA417A">
      <w:pPr>
        <w:adjustRightInd w:val="0"/>
        <w:snapToGrid w:val="0"/>
        <w:spacing w:line="360" w:lineRule="auto"/>
        <w:ind w:firstLine="480" w:firstLineChars="200"/>
        <w:rPr>
          <w:rFonts w:cs="仿宋_GB2312"/>
          <w:color w:val="auto"/>
          <w:sz w:val="24"/>
          <w:highlight w:val="none"/>
        </w:rPr>
      </w:pPr>
    </w:p>
    <w:p w14:paraId="4ADE9679">
      <w:pPr>
        <w:adjustRightInd w:val="0"/>
        <w:snapToGrid w:val="0"/>
        <w:spacing w:line="360" w:lineRule="auto"/>
        <w:ind w:firstLine="480" w:firstLineChars="200"/>
        <w:rPr>
          <w:rFonts w:cs="仿宋_GB2312"/>
          <w:color w:val="auto"/>
          <w:sz w:val="24"/>
          <w:highlight w:val="none"/>
        </w:rPr>
      </w:pPr>
    </w:p>
    <w:p w14:paraId="583F7FCA">
      <w:pPr>
        <w:adjustRightInd w:val="0"/>
        <w:snapToGrid w:val="0"/>
        <w:spacing w:line="360" w:lineRule="auto"/>
        <w:ind w:firstLine="480" w:firstLineChars="200"/>
        <w:rPr>
          <w:rFonts w:cs="仿宋_GB2312"/>
          <w:color w:val="auto"/>
          <w:sz w:val="24"/>
          <w:highlight w:val="none"/>
        </w:rPr>
      </w:pPr>
    </w:p>
    <w:p w14:paraId="17164E70">
      <w:pPr>
        <w:adjustRightInd w:val="0"/>
        <w:snapToGrid w:val="0"/>
        <w:spacing w:line="360" w:lineRule="auto"/>
        <w:rPr>
          <w:rFonts w:cs="仿宋_GB2312"/>
          <w:color w:val="auto"/>
          <w:sz w:val="24"/>
          <w:highlight w:val="none"/>
        </w:rPr>
      </w:pPr>
    </w:p>
    <w:p w14:paraId="4DCBE14C">
      <w:pPr>
        <w:adjustRightInd w:val="0"/>
        <w:snapToGrid w:val="0"/>
        <w:spacing w:line="360" w:lineRule="auto"/>
        <w:ind w:firstLine="480" w:firstLineChars="200"/>
        <w:jc w:val="center"/>
        <w:rPr>
          <w:rFonts w:cs="仿宋_GB2312"/>
          <w:color w:val="auto"/>
          <w:sz w:val="24"/>
          <w:highlight w:val="none"/>
        </w:rPr>
      </w:pPr>
    </w:p>
    <w:p w14:paraId="218F0CCF">
      <w:pPr>
        <w:adjustRightInd w:val="0"/>
        <w:snapToGrid w:val="0"/>
        <w:spacing w:line="360" w:lineRule="auto"/>
        <w:ind w:firstLine="480" w:firstLineChars="200"/>
        <w:jc w:val="center"/>
        <w:rPr>
          <w:rFonts w:cs="仿宋_GB2312"/>
          <w:color w:val="auto"/>
          <w:sz w:val="24"/>
          <w:highlight w:val="none"/>
        </w:rPr>
      </w:pPr>
    </w:p>
    <w:p w14:paraId="07EB1FC5">
      <w:pPr>
        <w:adjustRightInd w:val="0"/>
        <w:snapToGrid w:val="0"/>
        <w:spacing w:line="360" w:lineRule="auto"/>
        <w:ind w:firstLine="480" w:firstLineChars="200"/>
        <w:jc w:val="center"/>
        <w:rPr>
          <w:rFonts w:cs="仿宋_GB2312"/>
          <w:color w:val="auto"/>
          <w:sz w:val="24"/>
          <w:highlight w:val="none"/>
        </w:rPr>
      </w:pPr>
    </w:p>
    <w:p w14:paraId="622E6F61">
      <w:pPr>
        <w:adjustRightInd w:val="0"/>
        <w:snapToGrid w:val="0"/>
        <w:spacing w:line="360" w:lineRule="auto"/>
        <w:ind w:firstLine="1200" w:firstLineChars="500"/>
        <w:rPr>
          <w:rFonts w:cs="仿宋_GB2312"/>
          <w:snapToGrid w:val="0"/>
          <w:color w:val="auto"/>
          <w:kern w:val="0"/>
          <w:sz w:val="24"/>
          <w:highlight w:val="none"/>
          <w:u w:val="single"/>
        </w:rPr>
      </w:pPr>
      <w:r>
        <w:rPr>
          <w:rFonts w:hint="eastAsia" w:cs="仿宋_GB2312"/>
          <w:snapToGrid w:val="0"/>
          <w:color w:val="auto"/>
          <w:kern w:val="0"/>
          <w:sz w:val="24"/>
          <w:highlight w:val="none"/>
        </w:rPr>
        <w:t>投标人：</w:t>
      </w:r>
      <w:r>
        <w:rPr>
          <w:rFonts w:hint="eastAsia" w:cs="仿宋_GB2312"/>
          <w:snapToGrid w:val="0"/>
          <w:color w:val="auto"/>
          <w:kern w:val="0"/>
          <w:sz w:val="24"/>
          <w:highlight w:val="none"/>
          <w:u w:val="single"/>
        </w:rPr>
        <w:t xml:space="preserve">                     （盖单位公章）</w:t>
      </w:r>
    </w:p>
    <w:p w14:paraId="2A73B987">
      <w:pPr>
        <w:adjustRightInd w:val="0"/>
        <w:snapToGrid w:val="0"/>
        <w:spacing w:line="360" w:lineRule="auto"/>
        <w:ind w:firstLine="1200" w:firstLineChars="500"/>
        <w:rPr>
          <w:rFonts w:cs="仿宋_GB2312"/>
          <w:snapToGrid w:val="0"/>
          <w:color w:val="auto"/>
          <w:kern w:val="0"/>
          <w:sz w:val="24"/>
          <w:highlight w:val="none"/>
        </w:rPr>
      </w:pPr>
      <w:r>
        <w:rPr>
          <w:rFonts w:hint="eastAsia" w:cs="仿宋_GB2312"/>
          <w:snapToGrid w:val="0"/>
          <w:color w:val="auto"/>
          <w:kern w:val="0"/>
          <w:sz w:val="24"/>
          <w:highlight w:val="none"/>
        </w:rPr>
        <w:t>法定代表人（负责人）或其委托代理人：</w:t>
      </w:r>
      <w:r>
        <w:rPr>
          <w:rFonts w:hint="eastAsia" w:cs="仿宋_GB2312"/>
          <w:snapToGrid w:val="0"/>
          <w:color w:val="auto"/>
          <w:kern w:val="0"/>
          <w:sz w:val="24"/>
          <w:highlight w:val="none"/>
          <w:u w:val="single"/>
        </w:rPr>
        <w:t xml:space="preserve">   （签字或盖章）</w:t>
      </w:r>
    </w:p>
    <w:p w14:paraId="34A128FD">
      <w:pPr>
        <w:adjustRightInd w:val="0"/>
        <w:snapToGrid w:val="0"/>
        <w:spacing w:line="360" w:lineRule="auto"/>
        <w:ind w:firstLine="1200" w:firstLineChars="500"/>
        <w:rPr>
          <w:rFonts w:cs="仿宋_GB2312"/>
          <w:snapToGrid w:val="0"/>
          <w:color w:val="auto"/>
          <w:kern w:val="0"/>
          <w:sz w:val="24"/>
          <w:highlight w:val="none"/>
        </w:rPr>
      </w:pPr>
      <w:r>
        <w:rPr>
          <w:rFonts w:hint="eastAsia" w:cs="仿宋_GB2312"/>
          <w:snapToGrid w:val="0"/>
          <w:color w:val="auto"/>
          <w:kern w:val="0"/>
          <w:sz w:val="24"/>
          <w:highlight w:val="none"/>
        </w:rPr>
        <w:t>日  期：</w:t>
      </w:r>
      <w:r>
        <w:rPr>
          <w:rFonts w:hint="eastAsia" w:cs="仿宋_GB2312"/>
          <w:snapToGrid w:val="0"/>
          <w:color w:val="auto"/>
          <w:kern w:val="0"/>
          <w:sz w:val="24"/>
          <w:highlight w:val="none"/>
          <w:u w:val="single"/>
        </w:rPr>
        <w:t xml:space="preserve">      </w:t>
      </w:r>
      <w:r>
        <w:rPr>
          <w:rFonts w:hint="eastAsia" w:cs="仿宋_GB2312"/>
          <w:snapToGrid w:val="0"/>
          <w:color w:val="auto"/>
          <w:kern w:val="0"/>
          <w:sz w:val="24"/>
          <w:highlight w:val="none"/>
        </w:rPr>
        <w:t>年</w:t>
      </w:r>
      <w:r>
        <w:rPr>
          <w:rFonts w:hint="eastAsia" w:cs="仿宋_GB2312"/>
          <w:snapToGrid w:val="0"/>
          <w:color w:val="auto"/>
          <w:kern w:val="0"/>
          <w:sz w:val="24"/>
          <w:highlight w:val="none"/>
          <w:u w:val="single"/>
        </w:rPr>
        <w:t xml:space="preserve">    </w:t>
      </w:r>
      <w:r>
        <w:rPr>
          <w:rFonts w:hint="eastAsia" w:cs="仿宋_GB2312"/>
          <w:snapToGrid w:val="0"/>
          <w:color w:val="auto"/>
          <w:kern w:val="0"/>
          <w:sz w:val="24"/>
          <w:highlight w:val="none"/>
        </w:rPr>
        <w:t>月</w:t>
      </w:r>
      <w:r>
        <w:rPr>
          <w:rFonts w:hint="eastAsia" w:cs="仿宋_GB2312"/>
          <w:snapToGrid w:val="0"/>
          <w:color w:val="auto"/>
          <w:kern w:val="0"/>
          <w:sz w:val="24"/>
          <w:highlight w:val="none"/>
          <w:u w:val="single"/>
        </w:rPr>
        <w:t xml:space="preserve">    </w:t>
      </w:r>
      <w:r>
        <w:rPr>
          <w:rFonts w:hint="eastAsia" w:cs="仿宋_GB2312"/>
          <w:snapToGrid w:val="0"/>
          <w:color w:val="auto"/>
          <w:kern w:val="0"/>
          <w:sz w:val="24"/>
          <w:highlight w:val="none"/>
        </w:rPr>
        <w:t>日</w:t>
      </w:r>
    </w:p>
    <w:p w14:paraId="25AE4D8D">
      <w:pPr>
        <w:adjustRightInd w:val="0"/>
        <w:snapToGrid w:val="0"/>
        <w:spacing w:line="360" w:lineRule="auto"/>
        <w:jc w:val="center"/>
        <w:outlineLvl w:val="1"/>
        <w:rPr>
          <w:rFonts w:cs="仿宋_GB2312"/>
          <w:b/>
          <w:bCs/>
          <w:color w:val="auto"/>
          <w:sz w:val="24"/>
          <w:highlight w:val="none"/>
        </w:rPr>
      </w:pPr>
      <w:r>
        <w:rPr>
          <w:rFonts w:hint="eastAsia" w:cs="仿宋_GB2312"/>
          <w:b/>
          <w:bCs/>
          <w:color w:val="auto"/>
          <w:sz w:val="24"/>
          <w:highlight w:val="none"/>
        </w:rPr>
        <w:br w:type="page"/>
      </w:r>
      <w:bookmarkStart w:id="116" w:name="_Toc17952"/>
      <w:bookmarkStart w:id="117" w:name="_Toc83886040"/>
      <w:bookmarkStart w:id="118" w:name="_Toc21516"/>
      <w:r>
        <w:rPr>
          <w:rFonts w:hint="eastAsia" w:cs="仿宋_GB2312"/>
          <w:b/>
          <w:bCs/>
          <w:color w:val="auto"/>
          <w:sz w:val="24"/>
          <w:highlight w:val="none"/>
        </w:rPr>
        <w:t>资格审查索引</w:t>
      </w:r>
      <w:bookmarkEnd w:id="116"/>
      <w:bookmarkEnd w:id="117"/>
      <w:bookmarkEnd w:id="118"/>
    </w:p>
    <w:tbl>
      <w:tblPr>
        <w:tblStyle w:val="26"/>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7B2E97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AE1D352">
            <w:pPr>
              <w:snapToGrid w:val="0"/>
              <w:spacing w:line="360" w:lineRule="exact"/>
              <w:jc w:val="center"/>
              <w:rPr>
                <w:rFonts w:cs="仿宋_GB2312"/>
                <w:b/>
                <w:color w:val="auto"/>
                <w:sz w:val="24"/>
                <w:highlight w:val="none"/>
              </w:rPr>
            </w:pPr>
            <w:r>
              <w:rPr>
                <w:rFonts w:hint="eastAsia" w:cs="仿宋_GB2312"/>
                <w:b/>
                <w:color w:val="auto"/>
                <w:sz w:val="24"/>
                <w:highlight w:val="none"/>
              </w:rPr>
              <w:t>序号</w:t>
            </w:r>
          </w:p>
        </w:tc>
        <w:tc>
          <w:tcPr>
            <w:tcW w:w="5470" w:type="dxa"/>
            <w:vAlign w:val="center"/>
          </w:tcPr>
          <w:p w14:paraId="3474B400">
            <w:pPr>
              <w:snapToGrid w:val="0"/>
              <w:spacing w:line="360" w:lineRule="exact"/>
              <w:jc w:val="center"/>
              <w:rPr>
                <w:rFonts w:cs="仿宋_GB2312"/>
                <w:b/>
                <w:color w:val="auto"/>
                <w:sz w:val="24"/>
                <w:highlight w:val="none"/>
              </w:rPr>
            </w:pPr>
            <w:r>
              <w:rPr>
                <w:rFonts w:hint="eastAsia" w:cs="仿宋_GB2312"/>
                <w:b/>
                <w:color w:val="auto"/>
                <w:sz w:val="24"/>
                <w:highlight w:val="none"/>
              </w:rPr>
              <w:t>审查内容</w:t>
            </w:r>
          </w:p>
        </w:tc>
        <w:tc>
          <w:tcPr>
            <w:tcW w:w="1276" w:type="dxa"/>
            <w:vAlign w:val="center"/>
          </w:tcPr>
          <w:p w14:paraId="7C2A3B37">
            <w:pPr>
              <w:snapToGrid w:val="0"/>
              <w:spacing w:line="360" w:lineRule="exact"/>
              <w:jc w:val="center"/>
              <w:rPr>
                <w:rFonts w:cs="仿宋_GB2312"/>
                <w:b/>
                <w:color w:val="auto"/>
                <w:sz w:val="24"/>
                <w:highlight w:val="none"/>
              </w:rPr>
            </w:pPr>
            <w:r>
              <w:rPr>
                <w:rFonts w:hint="eastAsia" w:cs="仿宋_GB2312"/>
                <w:b/>
                <w:color w:val="auto"/>
                <w:sz w:val="24"/>
                <w:highlight w:val="none"/>
              </w:rPr>
              <w:t>页码</w:t>
            </w:r>
          </w:p>
        </w:tc>
      </w:tr>
      <w:tr w14:paraId="009AAD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56F5B96">
            <w:pPr>
              <w:snapToGrid w:val="0"/>
              <w:spacing w:line="360" w:lineRule="exact"/>
              <w:jc w:val="center"/>
              <w:rPr>
                <w:rFonts w:cs="仿宋_GB2312"/>
                <w:color w:val="auto"/>
                <w:sz w:val="24"/>
                <w:highlight w:val="none"/>
              </w:rPr>
            </w:pPr>
          </w:p>
        </w:tc>
        <w:tc>
          <w:tcPr>
            <w:tcW w:w="5470" w:type="dxa"/>
            <w:vAlign w:val="center"/>
          </w:tcPr>
          <w:p w14:paraId="5C1951A6">
            <w:pPr>
              <w:snapToGrid w:val="0"/>
              <w:spacing w:line="360" w:lineRule="exact"/>
              <w:jc w:val="center"/>
              <w:rPr>
                <w:rFonts w:cs="仿宋_GB2312"/>
                <w:color w:val="auto"/>
                <w:sz w:val="24"/>
                <w:highlight w:val="none"/>
              </w:rPr>
            </w:pPr>
          </w:p>
        </w:tc>
        <w:tc>
          <w:tcPr>
            <w:tcW w:w="1276" w:type="dxa"/>
            <w:vAlign w:val="center"/>
          </w:tcPr>
          <w:p w14:paraId="525E2412">
            <w:pPr>
              <w:snapToGrid w:val="0"/>
              <w:spacing w:line="360" w:lineRule="exact"/>
              <w:jc w:val="center"/>
              <w:rPr>
                <w:rFonts w:cs="仿宋_GB2312"/>
                <w:color w:val="auto"/>
                <w:sz w:val="24"/>
                <w:highlight w:val="none"/>
              </w:rPr>
            </w:pPr>
          </w:p>
        </w:tc>
      </w:tr>
      <w:tr w14:paraId="2CC273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8FBA468">
            <w:pPr>
              <w:snapToGrid w:val="0"/>
              <w:spacing w:line="360" w:lineRule="exact"/>
              <w:jc w:val="center"/>
              <w:rPr>
                <w:rFonts w:cs="仿宋_GB2312"/>
                <w:color w:val="auto"/>
                <w:sz w:val="24"/>
                <w:highlight w:val="none"/>
              </w:rPr>
            </w:pPr>
          </w:p>
        </w:tc>
        <w:tc>
          <w:tcPr>
            <w:tcW w:w="5470" w:type="dxa"/>
          </w:tcPr>
          <w:p w14:paraId="78DF0F02">
            <w:pPr>
              <w:snapToGrid w:val="0"/>
              <w:spacing w:line="360" w:lineRule="exact"/>
              <w:jc w:val="center"/>
              <w:rPr>
                <w:rFonts w:cs="仿宋_GB2312"/>
                <w:color w:val="auto"/>
                <w:sz w:val="24"/>
                <w:highlight w:val="none"/>
              </w:rPr>
            </w:pPr>
          </w:p>
        </w:tc>
        <w:tc>
          <w:tcPr>
            <w:tcW w:w="1276" w:type="dxa"/>
            <w:vAlign w:val="center"/>
          </w:tcPr>
          <w:p w14:paraId="204FB43E">
            <w:pPr>
              <w:snapToGrid w:val="0"/>
              <w:spacing w:line="360" w:lineRule="exact"/>
              <w:jc w:val="center"/>
              <w:rPr>
                <w:rFonts w:cs="仿宋_GB2312"/>
                <w:b/>
                <w:color w:val="auto"/>
                <w:sz w:val="24"/>
                <w:highlight w:val="none"/>
              </w:rPr>
            </w:pPr>
          </w:p>
        </w:tc>
      </w:tr>
      <w:tr w14:paraId="22377E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AD14DAB">
            <w:pPr>
              <w:snapToGrid w:val="0"/>
              <w:spacing w:line="360" w:lineRule="exact"/>
              <w:jc w:val="center"/>
              <w:rPr>
                <w:rFonts w:cs="仿宋_GB2312"/>
                <w:color w:val="auto"/>
                <w:sz w:val="24"/>
                <w:highlight w:val="none"/>
              </w:rPr>
            </w:pPr>
          </w:p>
        </w:tc>
        <w:tc>
          <w:tcPr>
            <w:tcW w:w="5470" w:type="dxa"/>
          </w:tcPr>
          <w:p w14:paraId="0A9D7583">
            <w:pPr>
              <w:snapToGrid w:val="0"/>
              <w:spacing w:line="360" w:lineRule="exact"/>
              <w:jc w:val="center"/>
              <w:rPr>
                <w:rFonts w:cs="仿宋_GB2312"/>
                <w:color w:val="auto"/>
                <w:sz w:val="24"/>
                <w:highlight w:val="none"/>
              </w:rPr>
            </w:pPr>
          </w:p>
        </w:tc>
        <w:tc>
          <w:tcPr>
            <w:tcW w:w="1276" w:type="dxa"/>
            <w:vAlign w:val="center"/>
          </w:tcPr>
          <w:p w14:paraId="55B1D4A4">
            <w:pPr>
              <w:snapToGrid w:val="0"/>
              <w:spacing w:line="360" w:lineRule="exact"/>
              <w:jc w:val="center"/>
              <w:rPr>
                <w:rFonts w:cs="仿宋_GB2312"/>
                <w:b/>
                <w:color w:val="auto"/>
                <w:sz w:val="24"/>
                <w:highlight w:val="none"/>
              </w:rPr>
            </w:pPr>
          </w:p>
        </w:tc>
      </w:tr>
      <w:tr w14:paraId="3D2AA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5F5514D">
            <w:pPr>
              <w:snapToGrid w:val="0"/>
              <w:spacing w:line="360" w:lineRule="exact"/>
              <w:jc w:val="center"/>
              <w:rPr>
                <w:rFonts w:cs="仿宋_GB2312"/>
                <w:color w:val="auto"/>
                <w:sz w:val="24"/>
                <w:highlight w:val="none"/>
              </w:rPr>
            </w:pPr>
          </w:p>
        </w:tc>
        <w:tc>
          <w:tcPr>
            <w:tcW w:w="5470" w:type="dxa"/>
          </w:tcPr>
          <w:p w14:paraId="6F3CBE14">
            <w:pPr>
              <w:snapToGrid w:val="0"/>
              <w:spacing w:line="360" w:lineRule="exact"/>
              <w:jc w:val="center"/>
              <w:rPr>
                <w:rFonts w:cs="仿宋_GB2312"/>
                <w:color w:val="auto"/>
                <w:sz w:val="24"/>
                <w:highlight w:val="none"/>
              </w:rPr>
            </w:pPr>
          </w:p>
        </w:tc>
        <w:tc>
          <w:tcPr>
            <w:tcW w:w="1276" w:type="dxa"/>
            <w:vAlign w:val="center"/>
          </w:tcPr>
          <w:p w14:paraId="0854ED92">
            <w:pPr>
              <w:snapToGrid w:val="0"/>
              <w:spacing w:line="360" w:lineRule="exact"/>
              <w:jc w:val="center"/>
              <w:rPr>
                <w:rFonts w:cs="仿宋_GB2312"/>
                <w:b/>
                <w:color w:val="auto"/>
                <w:sz w:val="24"/>
                <w:highlight w:val="none"/>
              </w:rPr>
            </w:pPr>
          </w:p>
        </w:tc>
      </w:tr>
      <w:tr w14:paraId="7C38C5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8697CF9">
            <w:pPr>
              <w:snapToGrid w:val="0"/>
              <w:spacing w:line="360" w:lineRule="exact"/>
              <w:jc w:val="center"/>
              <w:rPr>
                <w:rFonts w:cs="仿宋_GB2312"/>
                <w:color w:val="auto"/>
                <w:sz w:val="24"/>
                <w:highlight w:val="none"/>
              </w:rPr>
            </w:pPr>
          </w:p>
        </w:tc>
        <w:tc>
          <w:tcPr>
            <w:tcW w:w="5470" w:type="dxa"/>
          </w:tcPr>
          <w:p w14:paraId="71EC2642">
            <w:pPr>
              <w:snapToGrid w:val="0"/>
              <w:spacing w:line="360" w:lineRule="exact"/>
              <w:jc w:val="center"/>
              <w:rPr>
                <w:rFonts w:cs="仿宋_GB2312"/>
                <w:color w:val="auto"/>
                <w:sz w:val="24"/>
                <w:highlight w:val="none"/>
              </w:rPr>
            </w:pPr>
          </w:p>
        </w:tc>
        <w:tc>
          <w:tcPr>
            <w:tcW w:w="1276" w:type="dxa"/>
            <w:vAlign w:val="center"/>
          </w:tcPr>
          <w:p w14:paraId="0B84AEF6">
            <w:pPr>
              <w:snapToGrid w:val="0"/>
              <w:spacing w:line="360" w:lineRule="exact"/>
              <w:jc w:val="center"/>
              <w:rPr>
                <w:rFonts w:cs="仿宋_GB2312"/>
                <w:b/>
                <w:color w:val="auto"/>
                <w:sz w:val="24"/>
                <w:highlight w:val="none"/>
              </w:rPr>
            </w:pPr>
          </w:p>
        </w:tc>
      </w:tr>
    </w:tbl>
    <w:p w14:paraId="290E9FB2">
      <w:pPr>
        <w:spacing w:line="420" w:lineRule="exact"/>
        <w:jc w:val="left"/>
        <w:rPr>
          <w:rFonts w:cs="仿宋_GB2312"/>
          <w:color w:val="auto"/>
          <w:sz w:val="24"/>
          <w:highlight w:val="none"/>
        </w:rPr>
      </w:pPr>
      <w:r>
        <w:rPr>
          <w:rFonts w:hint="eastAsia" w:cs="仿宋_GB2312"/>
          <w:color w:val="auto"/>
          <w:sz w:val="24"/>
          <w:highlight w:val="none"/>
        </w:rPr>
        <w:t>注：投标人根据招标公告“</w:t>
      </w:r>
      <w:r>
        <w:rPr>
          <w:rFonts w:hint="eastAsia" w:cs="仿宋_GB2312"/>
          <w:color w:val="auto"/>
          <w:sz w:val="24"/>
          <w:highlight w:val="none"/>
          <w:lang w:val="zh-CN"/>
        </w:rPr>
        <w:t>投标人资格条件</w:t>
      </w:r>
      <w:r>
        <w:rPr>
          <w:rFonts w:hint="eastAsia" w:cs="仿宋_GB2312"/>
          <w:color w:val="auto"/>
          <w:sz w:val="24"/>
          <w:highlight w:val="none"/>
        </w:rPr>
        <w:t>”条款一一对应填写本表。</w:t>
      </w:r>
    </w:p>
    <w:p w14:paraId="31112DEE">
      <w:pPr>
        <w:spacing w:line="420" w:lineRule="exact"/>
        <w:jc w:val="center"/>
        <w:rPr>
          <w:rFonts w:cs="仿宋_GB2312"/>
          <w:color w:val="auto"/>
          <w:sz w:val="24"/>
          <w:highlight w:val="none"/>
        </w:rPr>
      </w:pPr>
    </w:p>
    <w:p w14:paraId="7B1BDB20">
      <w:pPr>
        <w:spacing w:line="360" w:lineRule="auto"/>
        <w:jc w:val="center"/>
        <w:outlineLvl w:val="1"/>
        <w:rPr>
          <w:rFonts w:cs="仿宋_GB2312"/>
          <w:b/>
          <w:bCs/>
          <w:color w:val="auto"/>
          <w:sz w:val="24"/>
          <w:highlight w:val="none"/>
        </w:rPr>
      </w:pPr>
      <w:bookmarkStart w:id="119" w:name="_Toc28418"/>
      <w:bookmarkStart w:id="120" w:name="_Toc83886041"/>
      <w:bookmarkStart w:id="121" w:name="_Toc28211"/>
      <w:r>
        <w:rPr>
          <w:rFonts w:hint="eastAsia" w:cs="仿宋_GB2312"/>
          <w:b/>
          <w:bCs/>
          <w:color w:val="auto"/>
          <w:sz w:val="24"/>
          <w:highlight w:val="none"/>
        </w:rPr>
        <w:t>符合性审查索引</w:t>
      </w:r>
      <w:bookmarkEnd w:id="119"/>
      <w:bookmarkEnd w:id="120"/>
      <w:bookmarkEnd w:id="121"/>
    </w:p>
    <w:tbl>
      <w:tblPr>
        <w:tblStyle w:val="26"/>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0E4ED9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6B24864">
            <w:pPr>
              <w:snapToGrid w:val="0"/>
              <w:spacing w:line="360" w:lineRule="exact"/>
              <w:jc w:val="center"/>
              <w:rPr>
                <w:rFonts w:cs="仿宋_GB2312"/>
                <w:b/>
                <w:color w:val="auto"/>
                <w:sz w:val="24"/>
                <w:highlight w:val="none"/>
              </w:rPr>
            </w:pPr>
            <w:r>
              <w:rPr>
                <w:rFonts w:hint="eastAsia" w:cs="仿宋_GB2312"/>
                <w:b/>
                <w:color w:val="auto"/>
                <w:sz w:val="24"/>
                <w:highlight w:val="none"/>
              </w:rPr>
              <w:t>序号</w:t>
            </w:r>
          </w:p>
        </w:tc>
        <w:tc>
          <w:tcPr>
            <w:tcW w:w="5470" w:type="dxa"/>
            <w:vAlign w:val="center"/>
          </w:tcPr>
          <w:p w14:paraId="30902894">
            <w:pPr>
              <w:snapToGrid w:val="0"/>
              <w:spacing w:line="360" w:lineRule="exact"/>
              <w:jc w:val="center"/>
              <w:rPr>
                <w:rFonts w:cs="仿宋_GB2312"/>
                <w:b/>
                <w:color w:val="auto"/>
                <w:sz w:val="24"/>
                <w:highlight w:val="none"/>
              </w:rPr>
            </w:pPr>
            <w:r>
              <w:rPr>
                <w:rFonts w:hint="eastAsia" w:cs="仿宋_GB2312"/>
                <w:b/>
                <w:color w:val="auto"/>
                <w:sz w:val="24"/>
                <w:highlight w:val="none"/>
              </w:rPr>
              <w:t>审查内容</w:t>
            </w:r>
          </w:p>
        </w:tc>
        <w:tc>
          <w:tcPr>
            <w:tcW w:w="1276" w:type="dxa"/>
            <w:vAlign w:val="center"/>
          </w:tcPr>
          <w:p w14:paraId="2571802C">
            <w:pPr>
              <w:snapToGrid w:val="0"/>
              <w:spacing w:line="360" w:lineRule="exact"/>
              <w:jc w:val="center"/>
              <w:rPr>
                <w:rFonts w:cs="仿宋_GB2312"/>
                <w:b/>
                <w:color w:val="auto"/>
                <w:sz w:val="24"/>
                <w:highlight w:val="none"/>
              </w:rPr>
            </w:pPr>
            <w:r>
              <w:rPr>
                <w:rFonts w:hint="eastAsia" w:cs="仿宋_GB2312"/>
                <w:b/>
                <w:color w:val="auto"/>
                <w:sz w:val="24"/>
                <w:highlight w:val="none"/>
              </w:rPr>
              <w:t>页码</w:t>
            </w:r>
          </w:p>
        </w:tc>
      </w:tr>
      <w:tr w14:paraId="2103FB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1FF871A">
            <w:pPr>
              <w:snapToGrid w:val="0"/>
              <w:spacing w:line="360" w:lineRule="exact"/>
              <w:jc w:val="center"/>
              <w:rPr>
                <w:rFonts w:cs="仿宋_GB2312"/>
                <w:color w:val="auto"/>
                <w:sz w:val="24"/>
                <w:highlight w:val="none"/>
              </w:rPr>
            </w:pPr>
          </w:p>
        </w:tc>
        <w:tc>
          <w:tcPr>
            <w:tcW w:w="5470" w:type="dxa"/>
            <w:vAlign w:val="center"/>
          </w:tcPr>
          <w:p w14:paraId="42EE97DC">
            <w:pPr>
              <w:snapToGrid w:val="0"/>
              <w:spacing w:line="360" w:lineRule="exact"/>
              <w:jc w:val="center"/>
              <w:rPr>
                <w:rFonts w:cs="仿宋_GB2312"/>
                <w:color w:val="auto"/>
                <w:sz w:val="24"/>
                <w:highlight w:val="none"/>
              </w:rPr>
            </w:pPr>
          </w:p>
        </w:tc>
        <w:tc>
          <w:tcPr>
            <w:tcW w:w="1276" w:type="dxa"/>
            <w:vAlign w:val="center"/>
          </w:tcPr>
          <w:p w14:paraId="56449B3B">
            <w:pPr>
              <w:snapToGrid w:val="0"/>
              <w:spacing w:line="360" w:lineRule="exact"/>
              <w:jc w:val="center"/>
              <w:rPr>
                <w:rFonts w:cs="仿宋_GB2312"/>
                <w:color w:val="auto"/>
                <w:sz w:val="24"/>
                <w:highlight w:val="none"/>
              </w:rPr>
            </w:pPr>
          </w:p>
        </w:tc>
      </w:tr>
      <w:tr w14:paraId="5EC237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0DED6DD">
            <w:pPr>
              <w:snapToGrid w:val="0"/>
              <w:spacing w:line="360" w:lineRule="exact"/>
              <w:jc w:val="center"/>
              <w:rPr>
                <w:rFonts w:cs="仿宋_GB2312"/>
                <w:color w:val="auto"/>
                <w:sz w:val="24"/>
                <w:highlight w:val="none"/>
              </w:rPr>
            </w:pPr>
          </w:p>
        </w:tc>
        <w:tc>
          <w:tcPr>
            <w:tcW w:w="5470" w:type="dxa"/>
          </w:tcPr>
          <w:p w14:paraId="6FE5A064">
            <w:pPr>
              <w:snapToGrid w:val="0"/>
              <w:spacing w:line="360" w:lineRule="exact"/>
              <w:jc w:val="center"/>
              <w:rPr>
                <w:rFonts w:cs="仿宋_GB2312"/>
                <w:color w:val="auto"/>
                <w:sz w:val="24"/>
                <w:highlight w:val="none"/>
              </w:rPr>
            </w:pPr>
          </w:p>
        </w:tc>
        <w:tc>
          <w:tcPr>
            <w:tcW w:w="1276" w:type="dxa"/>
            <w:vAlign w:val="center"/>
          </w:tcPr>
          <w:p w14:paraId="574720CD">
            <w:pPr>
              <w:snapToGrid w:val="0"/>
              <w:spacing w:line="360" w:lineRule="exact"/>
              <w:jc w:val="center"/>
              <w:rPr>
                <w:rFonts w:cs="仿宋_GB2312"/>
                <w:b/>
                <w:color w:val="auto"/>
                <w:sz w:val="24"/>
                <w:highlight w:val="none"/>
              </w:rPr>
            </w:pPr>
          </w:p>
        </w:tc>
      </w:tr>
      <w:tr w14:paraId="6E5A24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BDFEF6C">
            <w:pPr>
              <w:snapToGrid w:val="0"/>
              <w:spacing w:line="360" w:lineRule="exact"/>
              <w:jc w:val="center"/>
              <w:rPr>
                <w:rFonts w:cs="仿宋_GB2312"/>
                <w:color w:val="auto"/>
                <w:sz w:val="24"/>
                <w:highlight w:val="none"/>
              </w:rPr>
            </w:pPr>
          </w:p>
        </w:tc>
        <w:tc>
          <w:tcPr>
            <w:tcW w:w="5470" w:type="dxa"/>
          </w:tcPr>
          <w:p w14:paraId="38F0E5D1">
            <w:pPr>
              <w:snapToGrid w:val="0"/>
              <w:spacing w:line="360" w:lineRule="exact"/>
              <w:jc w:val="center"/>
              <w:rPr>
                <w:rFonts w:cs="仿宋_GB2312"/>
                <w:color w:val="auto"/>
                <w:sz w:val="24"/>
                <w:highlight w:val="none"/>
              </w:rPr>
            </w:pPr>
          </w:p>
        </w:tc>
        <w:tc>
          <w:tcPr>
            <w:tcW w:w="1276" w:type="dxa"/>
            <w:vAlign w:val="center"/>
          </w:tcPr>
          <w:p w14:paraId="0CAD45C4">
            <w:pPr>
              <w:snapToGrid w:val="0"/>
              <w:spacing w:line="360" w:lineRule="exact"/>
              <w:jc w:val="center"/>
              <w:rPr>
                <w:rFonts w:cs="仿宋_GB2312"/>
                <w:b/>
                <w:color w:val="auto"/>
                <w:sz w:val="24"/>
                <w:highlight w:val="none"/>
              </w:rPr>
            </w:pPr>
          </w:p>
        </w:tc>
      </w:tr>
      <w:tr w14:paraId="451D5D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33A1A55">
            <w:pPr>
              <w:snapToGrid w:val="0"/>
              <w:spacing w:line="360" w:lineRule="exact"/>
              <w:jc w:val="center"/>
              <w:rPr>
                <w:rFonts w:cs="仿宋_GB2312"/>
                <w:color w:val="auto"/>
                <w:sz w:val="24"/>
                <w:highlight w:val="none"/>
              </w:rPr>
            </w:pPr>
          </w:p>
        </w:tc>
        <w:tc>
          <w:tcPr>
            <w:tcW w:w="5470" w:type="dxa"/>
          </w:tcPr>
          <w:p w14:paraId="3710FD54">
            <w:pPr>
              <w:snapToGrid w:val="0"/>
              <w:spacing w:line="360" w:lineRule="exact"/>
              <w:jc w:val="center"/>
              <w:rPr>
                <w:rFonts w:cs="仿宋_GB2312"/>
                <w:color w:val="auto"/>
                <w:sz w:val="24"/>
                <w:highlight w:val="none"/>
              </w:rPr>
            </w:pPr>
          </w:p>
        </w:tc>
        <w:tc>
          <w:tcPr>
            <w:tcW w:w="1276" w:type="dxa"/>
            <w:vAlign w:val="center"/>
          </w:tcPr>
          <w:p w14:paraId="21D3602D">
            <w:pPr>
              <w:snapToGrid w:val="0"/>
              <w:spacing w:line="360" w:lineRule="exact"/>
              <w:jc w:val="center"/>
              <w:rPr>
                <w:rFonts w:cs="仿宋_GB2312"/>
                <w:b/>
                <w:color w:val="auto"/>
                <w:sz w:val="24"/>
                <w:highlight w:val="none"/>
              </w:rPr>
            </w:pPr>
          </w:p>
        </w:tc>
      </w:tr>
      <w:tr w14:paraId="76D84A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2AA8860">
            <w:pPr>
              <w:snapToGrid w:val="0"/>
              <w:spacing w:line="360" w:lineRule="exact"/>
              <w:jc w:val="center"/>
              <w:rPr>
                <w:rFonts w:cs="仿宋_GB2312"/>
                <w:color w:val="auto"/>
                <w:sz w:val="24"/>
                <w:highlight w:val="none"/>
              </w:rPr>
            </w:pPr>
          </w:p>
        </w:tc>
        <w:tc>
          <w:tcPr>
            <w:tcW w:w="5470" w:type="dxa"/>
          </w:tcPr>
          <w:p w14:paraId="333E94D5">
            <w:pPr>
              <w:snapToGrid w:val="0"/>
              <w:spacing w:line="360" w:lineRule="exact"/>
              <w:jc w:val="center"/>
              <w:rPr>
                <w:rFonts w:cs="仿宋_GB2312"/>
                <w:color w:val="auto"/>
                <w:sz w:val="24"/>
                <w:highlight w:val="none"/>
              </w:rPr>
            </w:pPr>
          </w:p>
        </w:tc>
        <w:tc>
          <w:tcPr>
            <w:tcW w:w="1276" w:type="dxa"/>
            <w:vAlign w:val="center"/>
          </w:tcPr>
          <w:p w14:paraId="02E06D93">
            <w:pPr>
              <w:snapToGrid w:val="0"/>
              <w:spacing w:line="360" w:lineRule="exact"/>
              <w:jc w:val="center"/>
              <w:rPr>
                <w:rFonts w:cs="仿宋_GB2312"/>
                <w:b/>
                <w:color w:val="auto"/>
                <w:sz w:val="24"/>
                <w:highlight w:val="none"/>
              </w:rPr>
            </w:pPr>
          </w:p>
        </w:tc>
      </w:tr>
    </w:tbl>
    <w:p w14:paraId="62B80030">
      <w:pPr>
        <w:spacing w:line="420" w:lineRule="exact"/>
        <w:jc w:val="left"/>
        <w:rPr>
          <w:rFonts w:cs="仿宋_GB2312"/>
          <w:color w:val="auto"/>
          <w:sz w:val="24"/>
          <w:highlight w:val="none"/>
        </w:rPr>
      </w:pPr>
      <w:r>
        <w:rPr>
          <w:rFonts w:hint="eastAsia" w:cs="仿宋_GB2312"/>
          <w:color w:val="auto"/>
          <w:sz w:val="24"/>
          <w:highlight w:val="none"/>
        </w:rPr>
        <w:t>注：投标人根据评标方法和评价标准的“初步评审”中“符合性审查”条款一一对应填写本表。</w:t>
      </w:r>
    </w:p>
    <w:p w14:paraId="47EC25F3">
      <w:pPr>
        <w:spacing w:line="360" w:lineRule="auto"/>
        <w:jc w:val="center"/>
        <w:outlineLvl w:val="1"/>
        <w:rPr>
          <w:rFonts w:cs="仿宋_GB2312"/>
          <w:b/>
          <w:bCs/>
          <w:color w:val="auto"/>
          <w:sz w:val="24"/>
          <w:highlight w:val="none"/>
        </w:rPr>
      </w:pPr>
      <w:bookmarkStart w:id="122" w:name="_Toc20861"/>
      <w:bookmarkStart w:id="123" w:name="_Toc83886042"/>
      <w:bookmarkStart w:id="124" w:name="_Toc17910"/>
      <w:r>
        <w:rPr>
          <w:rFonts w:hint="eastAsia" w:cs="仿宋_GB2312"/>
          <w:b/>
          <w:bCs/>
          <w:color w:val="auto"/>
          <w:sz w:val="24"/>
          <w:highlight w:val="none"/>
        </w:rPr>
        <w:t>详细评审索引</w:t>
      </w:r>
      <w:bookmarkEnd w:id="122"/>
      <w:bookmarkEnd w:id="123"/>
      <w:bookmarkEnd w:id="124"/>
    </w:p>
    <w:tbl>
      <w:tblPr>
        <w:tblStyle w:val="26"/>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3C9E9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4978C66D">
            <w:pPr>
              <w:adjustRightInd w:val="0"/>
              <w:snapToGrid w:val="0"/>
              <w:jc w:val="center"/>
              <w:rPr>
                <w:rFonts w:cs="仿宋_GB2312"/>
                <w:b/>
                <w:color w:val="auto"/>
                <w:sz w:val="24"/>
                <w:highlight w:val="none"/>
              </w:rPr>
            </w:pPr>
            <w:r>
              <w:rPr>
                <w:rFonts w:hint="eastAsia" w:cs="仿宋_GB2312"/>
                <w:b/>
                <w:color w:val="auto"/>
                <w:sz w:val="24"/>
                <w:highlight w:val="none"/>
              </w:rPr>
              <w:t>序号</w:t>
            </w:r>
          </w:p>
        </w:tc>
        <w:tc>
          <w:tcPr>
            <w:tcW w:w="5356" w:type="dxa"/>
            <w:vAlign w:val="center"/>
          </w:tcPr>
          <w:p w14:paraId="396113B2">
            <w:pPr>
              <w:adjustRightInd w:val="0"/>
              <w:snapToGrid w:val="0"/>
              <w:jc w:val="center"/>
              <w:rPr>
                <w:rFonts w:cs="仿宋_GB2312"/>
                <w:b/>
                <w:color w:val="auto"/>
                <w:sz w:val="24"/>
                <w:highlight w:val="none"/>
              </w:rPr>
            </w:pPr>
            <w:r>
              <w:rPr>
                <w:rFonts w:hint="eastAsia" w:cs="仿宋_GB2312"/>
                <w:b/>
                <w:color w:val="auto"/>
                <w:sz w:val="24"/>
                <w:highlight w:val="none"/>
              </w:rPr>
              <w:t>评分/评审细则</w:t>
            </w:r>
          </w:p>
        </w:tc>
        <w:tc>
          <w:tcPr>
            <w:tcW w:w="1276" w:type="dxa"/>
            <w:vAlign w:val="center"/>
          </w:tcPr>
          <w:p w14:paraId="5C3D742C">
            <w:pPr>
              <w:adjustRightInd w:val="0"/>
              <w:snapToGrid w:val="0"/>
              <w:jc w:val="center"/>
              <w:rPr>
                <w:rFonts w:cs="仿宋_GB2312"/>
                <w:b/>
                <w:color w:val="auto"/>
                <w:sz w:val="24"/>
                <w:highlight w:val="none"/>
              </w:rPr>
            </w:pPr>
            <w:r>
              <w:rPr>
                <w:rFonts w:hint="eastAsia" w:cs="仿宋_GB2312"/>
                <w:b/>
                <w:color w:val="auto"/>
                <w:sz w:val="24"/>
                <w:highlight w:val="none"/>
              </w:rPr>
              <w:t>页码</w:t>
            </w:r>
          </w:p>
        </w:tc>
      </w:tr>
      <w:tr w14:paraId="38E054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2AA1946E">
            <w:pPr>
              <w:adjustRightInd w:val="0"/>
              <w:snapToGrid w:val="0"/>
              <w:jc w:val="center"/>
              <w:rPr>
                <w:rFonts w:cs="仿宋_GB2312"/>
                <w:color w:val="auto"/>
                <w:sz w:val="24"/>
                <w:highlight w:val="none"/>
              </w:rPr>
            </w:pPr>
          </w:p>
        </w:tc>
        <w:tc>
          <w:tcPr>
            <w:tcW w:w="5356" w:type="dxa"/>
            <w:vAlign w:val="center"/>
          </w:tcPr>
          <w:p w14:paraId="13C8092B">
            <w:pPr>
              <w:adjustRightInd w:val="0"/>
              <w:snapToGrid w:val="0"/>
              <w:rPr>
                <w:rFonts w:cs="仿宋_GB2312"/>
                <w:color w:val="auto"/>
                <w:sz w:val="24"/>
                <w:highlight w:val="none"/>
              </w:rPr>
            </w:pPr>
          </w:p>
        </w:tc>
        <w:tc>
          <w:tcPr>
            <w:tcW w:w="1276" w:type="dxa"/>
            <w:vAlign w:val="center"/>
          </w:tcPr>
          <w:p w14:paraId="7C147BDA">
            <w:pPr>
              <w:adjustRightInd w:val="0"/>
              <w:snapToGrid w:val="0"/>
              <w:jc w:val="center"/>
              <w:rPr>
                <w:rFonts w:cs="仿宋_GB2312"/>
                <w:b/>
                <w:color w:val="auto"/>
                <w:sz w:val="24"/>
                <w:highlight w:val="none"/>
              </w:rPr>
            </w:pPr>
          </w:p>
        </w:tc>
      </w:tr>
      <w:tr w14:paraId="3A22CB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110757AB">
            <w:pPr>
              <w:adjustRightInd w:val="0"/>
              <w:snapToGrid w:val="0"/>
              <w:jc w:val="center"/>
              <w:rPr>
                <w:rFonts w:cs="仿宋_GB2312"/>
                <w:color w:val="auto"/>
                <w:sz w:val="24"/>
                <w:highlight w:val="none"/>
              </w:rPr>
            </w:pPr>
          </w:p>
        </w:tc>
        <w:tc>
          <w:tcPr>
            <w:tcW w:w="5356" w:type="dxa"/>
            <w:vAlign w:val="center"/>
          </w:tcPr>
          <w:p w14:paraId="61BAF603">
            <w:pPr>
              <w:adjustRightInd w:val="0"/>
              <w:snapToGrid w:val="0"/>
              <w:rPr>
                <w:rFonts w:cs="仿宋_GB2312"/>
                <w:color w:val="auto"/>
                <w:sz w:val="24"/>
                <w:highlight w:val="none"/>
              </w:rPr>
            </w:pPr>
          </w:p>
        </w:tc>
        <w:tc>
          <w:tcPr>
            <w:tcW w:w="1276" w:type="dxa"/>
            <w:vAlign w:val="center"/>
          </w:tcPr>
          <w:p w14:paraId="5C7CC873">
            <w:pPr>
              <w:adjustRightInd w:val="0"/>
              <w:snapToGrid w:val="0"/>
              <w:jc w:val="center"/>
              <w:rPr>
                <w:rFonts w:cs="仿宋_GB2312"/>
                <w:b/>
                <w:color w:val="auto"/>
                <w:sz w:val="24"/>
                <w:highlight w:val="none"/>
              </w:rPr>
            </w:pPr>
          </w:p>
        </w:tc>
      </w:tr>
      <w:tr w14:paraId="1373F4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63D970A9">
            <w:pPr>
              <w:adjustRightInd w:val="0"/>
              <w:snapToGrid w:val="0"/>
              <w:jc w:val="center"/>
              <w:rPr>
                <w:rFonts w:cs="仿宋_GB2312"/>
                <w:color w:val="auto"/>
                <w:sz w:val="24"/>
                <w:highlight w:val="none"/>
              </w:rPr>
            </w:pPr>
          </w:p>
        </w:tc>
        <w:tc>
          <w:tcPr>
            <w:tcW w:w="5356" w:type="dxa"/>
            <w:vAlign w:val="center"/>
          </w:tcPr>
          <w:p w14:paraId="27C3F224">
            <w:pPr>
              <w:adjustRightInd w:val="0"/>
              <w:snapToGrid w:val="0"/>
              <w:rPr>
                <w:rFonts w:cs="仿宋_GB2312"/>
                <w:color w:val="auto"/>
                <w:sz w:val="24"/>
                <w:highlight w:val="none"/>
              </w:rPr>
            </w:pPr>
          </w:p>
        </w:tc>
        <w:tc>
          <w:tcPr>
            <w:tcW w:w="1276" w:type="dxa"/>
            <w:vAlign w:val="center"/>
          </w:tcPr>
          <w:p w14:paraId="232D1464">
            <w:pPr>
              <w:adjustRightInd w:val="0"/>
              <w:snapToGrid w:val="0"/>
              <w:jc w:val="center"/>
              <w:rPr>
                <w:rFonts w:cs="仿宋_GB2312"/>
                <w:b/>
                <w:color w:val="auto"/>
                <w:sz w:val="24"/>
                <w:highlight w:val="none"/>
              </w:rPr>
            </w:pPr>
          </w:p>
        </w:tc>
      </w:tr>
      <w:tr w14:paraId="157DCE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6276D658">
            <w:pPr>
              <w:adjustRightInd w:val="0"/>
              <w:snapToGrid w:val="0"/>
              <w:jc w:val="center"/>
              <w:rPr>
                <w:rFonts w:cs="仿宋_GB2312"/>
                <w:color w:val="auto"/>
                <w:sz w:val="24"/>
                <w:highlight w:val="none"/>
              </w:rPr>
            </w:pPr>
          </w:p>
        </w:tc>
        <w:tc>
          <w:tcPr>
            <w:tcW w:w="5356" w:type="dxa"/>
            <w:vAlign w:val="center"/>
          </w:tcPr>
          <w:p w14:paraId="0409C8A3">
            <w:pPr>
              <w:adjustRightInd w:val="0"/>
              <w:snapToGrid w:val="0"/>
              <w:rPr>
                <w:rFonts w:cs="仿宋_GB2312"/>
                <w:color w:val="auto"/>
                <w:sz w:val="24"/>
                <w:highlight w:val="none"/>
              </w:rPr>
            </w:pPr>
          </w:p>
        </w:tc>
        <w:tc>
          <w:tcPr>
            <w:tcW w:w="1276" w:type="dxa"/>
            <w:vAlign w:val="center"/>
          </w:tcPr>
          <w:p w14:paraId="0662C074">
            <w:pPr>
              <w:adjustRightInd w:val="0"/>
              <w:snapToGrid w:val="0"/>
              <w:jc w:val="center"/>
              <w:rPr>
                <w:rFonts w:cs="仿宋_GB2312"/>
                <w:b/>
                <w:color w:val="auto"/>
                <w:sz w:val="24"/>
                <w:highlight w:val="none"/>
              </w:rPr>
            </w:pPr>
          </w:p>
        </w:tc>
      </w:tr>
      <w:tr w14:paraId="0F8EFD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165C4CE0">
            <w:pPr>
              <w:adjustRightInd w:val="0"/>
              <w:snapToGrid w:val="0"/>
              <w:jc w:val="center"/>
              <w:rPr>
                <w:rFonts w:cs="仿宋_GB2312"/>
                <w:color w:val="auto"/>
                <w:sz w:val="24"/>
                <w:highlight w:val="none"/>
              </w:rPr>
            </w:pPr>
          </w:p>
        </w:tc>
        <w:tc>
          <w:tcPr>
            <w:tcW w:w="5356" w:type="dxa"/>
            <w:vAlign w:val="center"/>
          </w:tcPr>
          <w:p w14:paraId="6DFDF8C0">
            <w:pPr>
              <w:adjustRightInd w:val="0"/>
              <w:snapToGrid w:val="0"/>
              <w:ind w:left="-3" w:leftChars="-1" w:firstLine="2"/>
              <w:rPr>
                <w:rFonts w:cs="仿宋_GB2312"/>
                <w:b/>
                <w:color w:val="auto"/>
                <w:sz w:val="24"/>
                <w:highlight w:val="none"/>
              </w:rPr>
            </w:pPr>
          </w:p>
        </w:tc>
        <w:tc>
          <w:tcPr>
            <w:tcW w:w="1276" w:type="dxa"/>
            <w:vAlign w:val="center"/>
          </w:tcPr>
          <w:p w14:paraId="433CD39D">
            <w:pPr>
              <w:adjustRightInd w:val="0"/>
              <w:snapToGrid w:val="0"/>
              <w:jc w:val="center"/>
              <w:rPr>
                <w:rFonts w:cs="仿宋_GB2312"/>
                <w:b/>
                <w:color w:val="auto"/>
                <w:sz w:val="24"/>
                <w:highlight w:val="none"/>
              </w:rPr>
            </w:pPr>
          </w:p>
        </w:tc>
      </w:tr>
    </w:tbl>
    <w:p w14:paraId="7B95C068">
      <w:pPr>
        <w:spacing w:line="440" w:lineRule="exact"/>
        <w:rPr>
          <w:rFonts w:cs="仿宋_GB2312"/>
          <w:color w:val="auto"/>
          <w:sz w:val="24"/>
          <w:highlight w:val="none"/>
        </w:rPr>
      </w:pPr>
      <w:r>
        <w:rPr>
          <w:rFonts w:hint="eastAsia" w:cs="仿宋_GB2312"/>
          <w:color w:val="auto"/>
          <w:sz w:val="24"/>
          <w:highlight w:val="none"/>
        </w:rPr>
        <w:t>注：投标人根据评标方法及评价标准的“详细评审”条款一一对应填写本表。</w:t>
      </w:r>
    </w:p>
    <w:p w14:paraId="3B035F46">
      <w:pPr>
        <w:pStyle w:val="9"/>
        <w:rPr>
          <w:rFonts w:eastAsia="仿宋_GB2312" w:cs="仿宋_GB2312"/>
          <w:color w:val="auto"/>
          <w:sz w:val="24"/>
          <w:szCs w:val="24"/>
          <w:highlight w:val="none"/>
        </w:rPr>
      </w:pPr>
    </w:p>
    <w:p w14:paraId="0B6AE643">
      <w:pPr>
        <w:pStyle w:val="9"/>
        <w:rPr>
          <w:rFonts w:eastAsia="仿宋_GB2312" w:cs="仿宋_GB2312"/>
          <w:color w:val="auto"/>
          <w:sz w:val="24"/>
          <w:szCs w:val="24"/>
          <w:highlight w:val="none"/>
        </w:rPr>
      </w:pPr>
    </w:p>
    <w:p w14:paraId="1F10460C">
      <w:pPr>
        <w:rPr>
          <w:rFonts w:cs="仿宋_GB2312"/>
          <w:b/>
          <w:color w:val="auto"/>
          <w:sz w:val="24"/>
          <w:highlight w:val="none"/>
        </w:rPr>
      </w:pPr>
      <w:bookmarkStart w:id="125" w:name="_Toc83886043"/>
      <w:r>
        <w:rPr>
          <w:rFonts w:hint="eastAsia" w:cs="仿宋_GB2312"/>
          <w:b/>
          <w:color w:val="auto"/>
          <w:sz w:val="24"/>
          <w:highlight w:val="none"/>
        </w:rPr>
        <w:br w:type="page"/>
      </w:r>
    </w:p>
    <w:p w14:paraId="4E5C0C8E">
      <w:pPr>
        <w:wordWrap w:val="0"/>
        <w:spacing w:line="360" w:lineRule="auto"/>
        <w:jc w:val="center"/>
        <w:rPr>
          <w:rFonts w:cs="仿宋_GB2312"/>
          <w:b/>
          <w:color w:val="auto"/>
          <w:sz w:val="24"/>
          <w:highlight w:val="none"/>
        </w:rPr>
      </w:pPr>
      <w:r>
        <w:rPr>
          <w:rFonts w:hint="eastAsia" w:eastAsia="黑体" w:cs="黑体"/>
          <w:b/>
          <w:color w:val="auto"/>
          <w:szCs w:val="32"/>
          <w:highlight w:val="none"/>
        </w:rPr>
        <w:t>目录</w:t>
      </w:r>
      <w:r>
        <w:rPr>
          <w:rFonts w:hint="eastAsia" w:eastAsia="黑体" w:cs="黑体"/>
          <w:b/>
          <w:color w:val="auto"/>
          <w:szCs w:val="32"/>
          <w:highlight w:val="none"/>
        </w:rPr>
        <w:br w:type="textWrapping"/>
      </w:r>
      <w:r>
        <w:rPr>
          <w:rFonts w:hint="eastAsia" w:cs="仿宋_GB2312"/>
          <w:b/>
          <w:color w:val="auto"/>
          <w:sz w:val="24"/>
          <w:highlight w:val="none"/>
        </w:rPr>
        <w:t>资格审查文件部分</w:t>
      </w:r>
    </w:p>
    <w:p w14:paraId="3C5A8764">
      <w:pPr>
        <w:wordWrap w:val="0"/>
        <w:snapToGrid w:val="0"/>
        <w:spacing w:line="360" w:lineRule="auto"/>
        <w:rPr>
          <w:rFonts w:cs="仿宋_GB2312"/>
          <w:color w:val="auto"/>
          <w:sz w:val="24"/>
          <w:highlight w:val="none"/>
        </w:rPr>
      </w:pPr>
      <w:r>
        <w:rPr>
          <w:rFonts w:hint="eastAsia" w:cs="仿宋_GB2312"/>
          <w:color w:val="auto"/>
          <w:sz w:val="24"/>
          <w:highlight w:val="none"/>
        </w:rPr>
        <w:t>1.营业执照（或者事业单位法人证书）副本复印件……………………………………（页码）</w:t>
      </w:r>
    </w:p>
    <w:p w14:paraId="7808DF11">
      <w:pPr>
        <w:wordWrap w:val="0"/>
        <w:snapToGrid w:val="0"/>
        <w:spacing w:line="360" w:lineRule="auto"/>
        <w:rPr>
          <w:rFonts w:cs="仿宋_GB2312"/>
          <w:color w:val="auto"/>
          <w:sz w:val="24"/>
          <w:highlight w:val="none"/>
        </w:rPr>
      </w:pPr>
      <w:r>
        <w:rPr>
          <w:rFonts w:hint="eastAsia" w:cs="仿宋_GB2312"/>
          <w:color w:val="auto"/>
          <w:sz w:val="24"/>
          <w:highlight w:val="none"/>
        </w:rPr>
        <w:t>2.投标保证金缴存证明……………………………………………………………………（页码）</w:t>
      </w:r>
    </w:p>
    <w:p w14:paraId="076283EB">
      <w:pPr>
        <w:wordWrap w:val="0"/>
        <w:snapToGrid w:val="0"/>
        <w:spacing w:line="360" w:lineRule="auto"/>
        <w:rPr>
          <w:rFonts w:cs="仿宋_GB2312"/>
          <w:color w:val="auto"/>
          <w:sz w:val="24"/>
          <w:highlight w:val="none"/>
        </w:rPr>
      </w:pPr>
      <w:r>
        <w:rPr>
          <w:rFonts w:hint="eastAsia" w:cs="仿宋_GB2312"/>
          <w:color w:val="auto"/>
          <w:sz w:val="24"/>
          <w:highlight w:val="none"/>
        </w:rPr>
        <w:t>3.其他资格条件证明材料（复印件加盖公章）…………………………………………（页码）</w:t>
      </w:r>
    </w:p>
    <w:p w14:paraId="696B81D8">
      <w:pPr>
        <w:wordWrap w:val="0"/>
        <w:spacing w:line="360" w:lineRule="auto"/>
        <w:jc w:val="center"/>
        <w:outlineLvl w:val="0"/>
        <w:rPr>
          <w:rFonts w:cs="仿宋_GB2312"/>
          <w:b/>
          <w:color w:val="auto"/>
          <w:sz w:val="24"/>
          <w:highlight w:val="none"/>
        </w:rPr>
      </w:pPr>
      <w:bookmarkStart w:id="126" w:name="_Toc13298"/>
      <w:r>
        <w:rPr>
          <w:rFonts w:hint="eastAsia" w:cs="仿宋_GB2312"/>
          <w:b/>
          <w:color w:val="auto"/>
          <w:sz w:val="24"/>
          <w:highlight w:val="none"/>
        </w:rPr>
        <w:t>商务文件部分</w:t>
      </w:r>
      <w:bookmarkEnd w:id="126"/>
    </w:p>
    <w:p w14:paraId="5C613381">
      <w:pPr>
        <w:wordWrap w:val="0"/>
        <w:snapToGrid w:val="0"/>
        <w:spacing w:line="360" w:lineRule="auto"/>
        <w:rPr>
          <w:rFonts w:cs="仿宋_GB2312"/>
          <w:color w:val="auto"/>
          <w:sz w:val="24"/>
          <w:highlight w:val="none"/>
        </w:rPr>
      </w:pPr>
      <w:r>
        <w:rPr>
          <w:rFonts w:hint="eastAsia" w:cs="仿宋_GB2312"/>
          <w:color w:val="auto"/>
          <w:sz w:val="24"/>
          <w:highlight w:val="none"/>
        </w:rPr>
        <w:t>1.投标函……………………………………………………………………………………（页码）</w:t>
      </w:r>
    </w:p>
    <w:p w14:paraId="1801B541">
      <w:pPr>
        <w:wordWrap w:val="0"/>
        <w:snapToGrid w:val="0"/>
        <w:spacing w:line="360" w:lineRule="auto"/>
        <w:rPr>
          <w:rFonts w:cs="仿宋_GB2312"/>
          <w:color w:val="auto"/>
          <w:sz w:val="24"/>
          <w:highlight w:val="none"/>
        </w:rPr>
      </w:pPr>
      <w:r>
        <w:rPr>
          <w:rFonts w:hint="eastAsia" w:cs="仿宋_GB2312"/>
          <w:color w:val="auto"/>
          <w:sz w:val="24"/>
          <w:highlight w:val="none"/>
        </w:rPr>
        <w:t>2.投标报价明细表…………………………………………………………………………（页码）</w:t>
      </w:r>
    </w:p>
    <w:p w14:paraId="14934CD7">
      <w:pPr>
        <w:wordWrap w:val="0"/>
        <w:snapToGrid w:val="0"/>
        <w:spacing w:line="360" w:lineRule="auto"/>
        <w:rPr>
          <w:rFonts w:cs="仿宋_GB2312"/>
          <w:color w:val="auto"/>
          <w:sz w:val="24"/>
          <w:highlight w:val="none"/>
        </w:rPr>
      </w:pPr>
      <w:r>
        <w:rPr>
          <w:rFonts w:hint="eastAsia" w:cs="仿宋_GB2312"/>
          <w:color w:val="auto"/>
          <w:sz w:val="24"/>
          <w:highlight w:val="none"/>
        </w:rPr>
        <w:t>3.法定代表人授权书（格式见附件）……………………………………………………（页码）</w:t>
      </w:r>
    </w:p>
    <w:p w14:paraId="71F79FDB">
      <w:pPr>
        <w:wordWrap w:val="0"/>
        <w:snapToGrid w:val="0"/>
        <w:spacing w:line="360" w:lineRule="auto"/>
        <w:rPr>
          <w:rFonts w:cs="仿宋_GB2312"/>
          <w:color w:val="auto"/>
          <w:sz w:val="24"/>
          <w:highlight w:val="none"/>
        </w:rPr>
      </w:pPr>
      <w:r>
        <w:rPr>
          <w:rFonts w:hint="eastAsia" w:cs="仿宋_GB2312"/>
          <w:color w:val="auto"/>
          <w:sz w:val="24"/>
          <w:highlight w:val="none"/>
        </w:rPr>
        <w:t>4.联合体协议书（若有）…………………………………………………………………（页码）</w:t>
      </w:r>
    </w:p>
    <w:p w14:paraId="43BC86E6">
      <w:pPr>
        <w:wordWrap w:val="0"/>
        <w:snapToGrid w:val="0"/>
        <w:spacing w:line="360" w:lineRule="auto"/>
        <w:rPr>
          <w:rFonts w:cs="仿宋_GB2312"/>
          <w:color w:val="auto"/>
          <w:sz w:val="24"/>
          <w:highlight w:val="none"/>
        </w:rPr>
      </w:pPr>
      <w:r>
        <w:rPr>
          <w:rFonts w:hint="eastAsia" w:cs="仿宋_GB2312"/>
          <w:color w:val="auto"/>
          <w:sz w:val="24"/>
          <w:highlight w:val="none"/>
        </w:rPr>
        <w:t>5.商务偏离表（格式见附件）……………………………………………………………（页码）</w:t>
      </w:r>
    </w:p>
    <w:p w14:paraId="32900697">
      <w:pPr>
        <w:adjustRightInd w:val="0"/>
        <w:snapToGrid w:val="0"/>
        <w:spacing w:line="360" w:lineRule="auto"/>
        <w:outlineLvl w:val="1"/>
        <w:rPr>
          <w:rFonts w:cs="仿宋_GB2312"/>
          <w:b/>
          <w:bCs/>
          <w:color w:val="auto"/>
          <w:sz w:val="24"/>
          <w:highlight w:val="none"/>
        </w:rPr>
      </w:pPr>
      <w:bookmarkStart w:id="127" w:name="_Toc4707"/>
      <w:r>
        <w:rPr>
          <w:rFonts w:hint="eastAsia" w:cs="仿宋_GB2312"/>
          <w:color w:val="auto"/>
          <w:sz w:val="24"/>
          <w:highlight w:val="none"/>
        </w:rPr>
        <w:t>6.优惠条件及特殊承诺……………………………………………………………………（页码）</w:t>
      </w:r>
      <w:bookmarkEnd w:id="127"/>
    </w:p>
    <w:p w14:paraId="5A598AF2">
      <w:pPr>
        <w:wordWrap w:val="0"/>
        <w:spacing w:line="360" w:lineRule="auto"/>
        <w:jc w:val="center"/>
        <w:outlineLvl w:val="0"/>
        <w:rPr>
          <w:rFonts w:cs="仿宋_GB2312"/>
          <w:b/>
          <w:bCs/>
          <w:color w:val="auto"/>
          <w:sz w:val="24"/>
          <w:highlight w:val="none"/>
        </w:rPr>
      </w:pPr>
      <w:bookmarkStart w:id="128" w:name="_Toc9557"/>
      <w:r>
        <w:rPr>
          <w:rFonts w:hint="eastAsia" w:cs="仿宋_GB2312"/>
          <w:b/>
          <w:color w:val="auto"/>
          <w:sz w:val="24"/>
          <w:highlight w:val="none"/>
        </w:rPr>
        <w:t>资信文件部分</w:t>
      </w:r>
      <w:bookmarkEnd w:id="128"/>
    </w:p>
    <w:p w14:paraId="383459AE">
      <w:pPr>
        <w:wordWrap w:val="0"/>
        <w:adjustRightInd w:val="0"/>
        <w:snapToGrid w:val="0"/>
        <w:spacing w:line="400" w:lineRule="exact"/>
        <w:rPr>
          <w:rFonts w:cs="仿宋_GB2312"/>
          <w:color w:val="auto"/>
          <w:sz w:val="24"/>
          <w:highlight w:val="none"/>
        </w:rPr>
      </w:pPr>
      <w:r>
        <w:rPr>
          <w:rFonts w:hint="eastAsia" w:cs="仿宋_GB2312"/>
          <w:color w:val="auto"/>
          <w:sz w:val="24"/>
          <w:highlight w:val="none"/>
        </w:rPr>
        <w:t>1.投标人基本情况表……………………………………………………………………（页码）</w:t>
      </w:r>
    </w:p>
    <w:p w14:paraId="4B61340A">
      <w:pPr>
        <w:wordWrap w:val="0"/>
        <w:adjustRightInd w:val="0"/>
        <w:snapToGrid w:val="0"/>
        <w:spacing w:line="400" w:lineRule="exact"/>
        <w:rPr>
          <w:rFonts w:cs="仿宋_GB2312"/>
          <w:color w:val="auto"/>
          <w:sz w:val="24"/>
          <w:highlight w:val="none"/>
        </w:rPr>
      </w:pPr>
      <w:r>
        <w:rPr>
          <w:rFonts w:hint="eastAsia" w:cs="仿宋_GB2312"/>
          <w:color w:val="auto"/>
          <w:sz w:val="24"/>
          <w:highlight w:val="none"/>
        </w:rPr>
        <w:t>2.股东信息及出资比例信息表……………………………………………………………（页码）</w:t>
      </w:r>
    </w:p>
    <w:p w14:paraId="6B163693">
      <w:pPr>
        <w:wordWrap w:val="0"/>
        <w:adjustRightInd w:val="0"/>
        <w:snapToGrid w:val="0"/>
        <w:spacing w:line="400" w:lineRule="exact"/>
        <w:rPr>
          <w:rFonts w:cs="仿宋_GB2312"/>
          <w:color w:val="auto"/>
          <w:sz w:val="24"/>
          <w:highlight w:val="none"/>
        </w:rPr>
      </w:pPr>
      <w:r>
        <w:rPr>
          <w:rFonts w:hint="eastAsia" w:cs="仿宋_GB2312"/>
          <w:color w:val="auto"/>
          <w:sz w:val="24"/>
          <w:highlight w:val="none"/>
        </w:rPr>
        <w:t>3.企业类似项目业绩一览表………………………………………………………………（页码）</w:t>
      </w:r>
    </w:p>
    <w:p w14:paraId="4E38A887">
      <w:pPr>
        <w:wordWrap w:val="0"/>
        <w:spacing w:line="400" w:lineRule="exact"/>
        <w:rPr>
          <w:rFonts w:cs="仿宋_GB2312"/>
          <w:color w:val="auto"/>
          <w:sz w:val="24"/>
          <w:highlight w:val="none"/>
        </w:rPr>
      </w:pPr>
      <w:r>
        <w:rPr>
          <w:rFonts w:hint="eastAsia" w:cs="仿宋_GB2312"/>
          <w:color w:val="auto"/>
          <w:sz w:val="24"/>
          <w:highlight w:val="none"/>
        </w:rPr>
        <w:t>4.诚信廉洁承诺函…………………………………………………………………………（页码）</w:t>
      </w:r>
    </w:p>
    <w:p w14:paraId="6EA61816">
      <w:pPr>
        <w:wordWrap w:val="0"/>
        <w:spacing w:line="400" w:lineRule="exact"/>
        <w:rPr>
          <w:rFonts w:cs="仿宋_GB2312"/>
          <w:color w:val="auto"/>
          <w:sz w:val="24"/>
          <w:highlight w:val="none"/>
        </w:rPr>
      </w:pPr>
      <w:r>
        <w:rPr>
          <w:rFonts w:hint="eastAsia" w:cs="仿宋_GB2312"/>
          <w:color w:val="auto"/>
          <w:sz w:val="24"/>
          <w:highlight w:val="none"/>
        </w:rPr>
        <w:t>5.安全服务承诺函…………………………………………………………………………（页码）</w:t>
      </w:r>
    </w:p>
    <w:p w14:paraId="74F6E40C">
      <w:pPr>
        <w:wordWrap w:val="0"/>
        <w:spacing w:line="400" w:lineRule="exact"/>
        <w:rPr>
          <w:rFonts w:cs="仿宋_GB2312"/>
          <w:color w:val="auto"/>
          <w:sz w:val="24"/>
          <w:highlight w:val="none"/>
        </w:rPr>
      </w:pPr>
      <w:r>
        <w:rPr>
          <w:rFonts w:hint="eastAsia" w:cs="仿宋_GB2312"/>
          <w:color w:val="auto"/>
          <w:sz w:val="24"/>
          <w:highlight w:val="none"/>
        </w:rPr>
        <w:t>6.合法知识产权承诺函……………………………………………………………………（页码）</w:t>
      </w:r>
    </w:p>
    <w:p w14:paraId="3E979B78">
      <w:pPr>
        <w:wordWrap w:val="0"/>
        <w:spacing w:line="400" w:lineRule="exact"/>
        <w:rPr>
          <w:rFonts w:cs="仿宋_GB2312"/>
          <w:color w:val="auto"/>
          <w:sz w:val="24"/>
          <w:highlight w:val="none"/>
        </w:rPr>
      </w:pPr>
      <w:r>
        <w:rPr>
          <w:rFonts w:hint="eastAsia" w:cs="仿宋_GB2312"/>
          <w:color w:val="auto"/>
          <w:sz w:val="24"/>
          <w:highlight w:val="none"/>
        </w:rPr>
        <w:t>7.投标人认为有必要的其他内容等………………………………………………………（页码）</w:t>
      </w:r>
    </w:p>
    <w:p w14:paraId="59340EDA">
      <w:pPr>
        <w:numPr>
          <w:ilvl w:val="255"/>
          <w:numId w:val="0"/>
        </w:numPr>
        <w:wordWrap w:val="0"/>
        <w:adjustRightInd w:val="0"/>
        <w:snapToGrid w:val="0"/>
        <w:spacing w:line="400" w:lineRule="exact"/>
        <w:jc w:val="center"/>
        <w:rPr>
          <w:rFonts w:cs="仿宋_GB2312"/>
          <w:b/>
          <w:color w:val="auto"/>
          <w:sz w:val="24"/>
          <w:highlight w:val="none"/>
        </w:rPr>
      </w:pPr>
      <w:r>
        <w:rPr>
          <w:rFonts w:hint="eastAsia" w:cs="仿宋_GB2312"/>
          <w:b/>
          <w:color w:val="auto"/>
          <w:sz w:val="24"/>
          <w:highlight w:val="none"/>
        </w:rPr>
        <w:t>技术文件部分</w:t>
      </w:r>
    </w:p>
    <w:p w14:paraId="3D2AAD3E">
      <w:pPr>
        <w:numPr>
          <w:ilvl w:val="255"/>
          <w:numId w:val="0"/>
        </w:numPr>
        <w:wordWrap w:val="0"/>
        <w:adjustRightInd w:val="0"/>
        <w:snapToGrid w:val="0"/>
        <w:spacing w:line="400" w:lineRule="exact"/>
        <w:rPr>
          <w:rFonts w:cs="仿宋_GB2312"/>
          <w:color w:val="auto"/>
          <w:sz w:val="24"/>
          <w:highlight w:val="none"/>
        </w:rPr>
      </w:pPr>
      <w:r>
        <w:rPr>
          <w:rFonts w:hint="eastAsia" w:cs="仿宋_GB2312"/>
          <w:color w:val="auto"/>
          <w:sz w:val="24"/>
          <w:highlight w:val="none"/>
        </w:rPr>
        <w:t>1.技术与服务解决方案……………………………………………………………………（页码）</w:t>
      </w:r>
    </w:p>
    <w:p w14:paraId="2944FA84">
      <w:pPr>
        <w:numPr>
          <w:ilvl w:val="255"/>
          <w:numId w:val="0"/>
        </w:numPr>
        <w:wordWrap w:val="0"/>
        <w:adjustRightInd w:val="0"/>
        <w:snapToGrid w:val="0"/>
        <w:spacing w:line="400" w:lineRule="exact"/>
        <w:rPr>
          <w:rFonts w:cs="仿宋_GB2312"/>
          <w:color w:val="auto"/>
          <w:sz w:val="24"/>
          <w:highlight w:val="none"/>
        </w:rPr>
      </w:pPr>
      <w:r>
        <w:rPr>
          <w:rFonts w:hint="eastAsia" w:cs="仿宋_GB2312"/>
          <w:color w:val="auto"/>
          <w:sz w:val="24"/>
          <w:highlight w:val="none"/>
        </w:rPr>
        <w:t>2.</w:t>
      </w:r>
      <w:r>
        <w:rPr>
          <w:rFonts w:hint="eastAsia" w:cs="仿宋_GB2312"/>
          <w:bCs/>
          <w:color w:val="auto"/>
          <w:sz w:val="24"/>
          <w:highlight w:val="none"/>
        </w:rPr>
        <w:t>技术偏离表</w:t>
      </w:r>
      <w:r>
        <w:rPr>
          <w:rFonts w:hint="eastAsia" w:cs="仿宋_GB2312"/>
          <w:color w:val="auto"/>
          <w:sz w:val="24"/>
          <w:highlight w:val="none"/>
        </w:rPr>
        <w:t>………………………………………………………………………………（页码）</w:t>
      </w:r>
    </w:p>
    <w:p w14:paraId="564B6F5F">
      <w:pPr>
        <w:numPr>
          <w:ilvl w:val="255"/>
          <w:numId w:val="0"/>
        </w:numPr>
        <w:wordWrap w:val="0"/>
        <w:adjustRightInd w:val="0"/>
        <w:snapToGrid w:val="0"/>
        <w:spacing w:line="400" w:lineRule="exact"/>
        <w:rPr>
          <w:rFonts w:cs="仿宋_GB2312"/>
          <w:color w:val="auto"/>
          <w:sz w:val="24"/>
          <w:highlight w:val="none"/>
        </w:rPr>
      </w:pPr>
      <w:r>
        <w:rPr>
          <w:rFonts w:hint="eastAsia" w:cs="仿宋_GB2312"/>
          <w:color w:val="auto"/>
          <w:sz w:val="24"/>
          <w:highlight w:val="none"/>
        </w:rPr>
        <w:t>3.增值服务及特殊承诺………………………………………………………………（页码）</w:t>
      </w:r>
    </w:p>
    <w:p w14:paraId="26FC6C0D">
      <w:pPr>
        <w:numPr>
          <w:ilvl w:val="255"/>
          <w:numId w:val="0"/>
        </w:numPr>
        <w:wordWrap w:val="0"/>
        <w:adjustRightInd w:val="0"/>
        <w:snapToGrid w:val="0"/>
        <w:spacing w:line="400" w:lineRule="exact"/>
        <w:rPr>
          <w:rFonts w:cs="仿宋_GB2312"/>
          <w:color w:val="auto"/>
          <w:sz w:val="24"/>
          <w:highlight w:val="none"/>
        </w:rPr>
      </w:pPr>
      <w:r>
        <w:rPr>
          <w:rFonts w:hint="eastAsia" w:cs="仿宋_GB2312"/>
          <w:color w:val="auto"/>
          <w:sz w:val="24"/>
          <w:highlight w:val="none"/>
        </w:rPr>
        <w:t>4.投标人认为需要提供的其他文件和说明………………………………………………（页码）</w:t>
      </w:r>
    </w:p>
    <w:p w14:paraId="3CC9EEB6">
      <w:pPr>
        <w:adjustRightInd w:val="0"/>
        <w:snapToGrid w:val="0"/>
        <w:spacing w:line="360" w:lineRule="auto"/>
        <w:jc w:val="center"/>
        <w:rPr>
          <w:rFonts w:cs="宋体"/>
          <w:b/>
          <w:bCs/>
          <w:color w:val="auto"/>
          <w:sz w:val="28"/>
          <w:szCs w:val="28"/>
          <w:highlight w:val="none"/>
        </w:rPr>
      </w:pPr>
    </w:p>
    <w:p w14:paraId="29D79A9A">
      <w:pPr>
        <w:pStyle w:val="25"/>
        <w:ind w:left="0" w:leftChars="0" w:firstLine="0"/>
        <w:rPr>
          <w:rFonts w:hint="default" w:ascii="Times New Roman" w:hAnsi="Times New Roman" w:cs="宋体"/>
          <w:b/>
          <w:bCs/>
          <w:color w:val="auto"/>
          <w:sz w:val="28"/>
          <w:szCs w:val="28"/>
          <w:highlight w:val="none"/>
        </w:rPr>
      </w:pPr>
    </w:p>
    <w:p w14:paraId="4F52E1A8">
      <w:pPr>
        <w:rPr>
          <w:color w:val="auto"/>
          <w:highlight w:val="none"/>
        </w:rPr>
      </w:pPr>
    </w:p>
    <w:p w14:paraId="39A7D075">
      <w:pPr>
        <w:rPr>
          <w:color w:val="auto"/>
          <w:highlight w:val="none"/>
        </w:rPr>
      </w:pPr>
    </w:p>
    <w:p w14:paraId="75F4FDF4">
      <w:pPr>
        <w:rPr>
          <w:color w:val="auto"/>
          <w:highlight w:val="none"/>
        </w:rPr>
      </w:pPr>
    </w:p>
    <w:p w14:paraId="52BF7798">
      <w:pPr>
        <w:pStyle w:val="25"/>
        <w:ind w:left="0" w:leftChars="0" w:firstLine="0"/>
        <w:rPr>
          <w:rFonts w:hint="default" w:ascii="Times New Roman" w:hAnsi="Times New Roman" w:cs="宋体"/>
          <w:b/>
          <w:bCs/>
          <w:color w:val="auto"/>
          <w:sz w:val="28"/>
          <w:szCs w:val="28"/>
          <w:highlight w:val="none"/>
        </w:rPr>
      </w:pPr>
    </w:p>
    <w:p w14:paraId="165BE919">
      <w:pPr>
        <w:rPr>
          <w:color w:val="auto"/>
          <w:highlight w:val="none"/>
        </w:rPr>
      </w:pPr>
    </w:p>
    <w:p w14:paraId="5F0A269E">
      <w:pPr>
        <w:rPr>
          <w:color w:val="auto"/>
          <w:highlight w:val="none"/>
        </w:rPr>
      </w:pPr>
    </w:p>
    <w:bookmarkEnd w:id="125"/>
    <w:p w14:paraId="237860A1">
      <w:pPr>
        <w:adjustRightInd w:val="0"/>
        <w:snapToGrid w:val="0"/>
        <w:spacing w:line="360" w:lineRule="auto"/>
        <w:jc w:val="center"/>
        <w:outlineLvl w:val="1"/>
        <w:rPr>
          <w:rFonts w:eastAsia="宋体" w:cs="宋体"/>
          <w:snapToGrid w:val="0"/>
          <w:color w:val="auto"/>
          <w:kern w:val="0"/>
          <w:szCs w:val="21"/>
          <w:highlight w:val="none"/>
        </w:rPr>
      </w:pPr>
      <w:bookmarkStart w:id="129" w:name="_Toc11100"/>
      <w:r>
        <w:rPr>
          <w:rFonts w:hint="eastAsia" w:cs="宋体"/>
          <w:b/>
          <w:bCs/>
          <w:color w:val="auto"/>
          <w:sz w:val="28"/>
          <w:szCs w:val="28"/>
          <w:highlight w:val="none"/>
        </w:rPr>
        <w:t>第一部分、资格文件</w:t>
      </w:r>
      <w:bookmarkEnd w:id="129"/>
    </w:p>
    <w:p w14:paraId="5C1FC32C">
      <w:pPr>
        <w:pStyle w:val="5"/>
        <w:rPr>
          <w:rFonts w:ascii="Times New Roman" w:hAnsi="Times New Roman" w:eastAsia="仿宋_GB2312" w:cs="仿宋_GB2312"/>
          <w:bCs w:val="0"/>
          <w:color w:val="auto"/>
          <w:sz w:val="24"/>
          <w:szCs w:val="24"/>
          <w:highlight w:val="none"/>
        </w:rPr>
      </w:pPr>
      <w:r>
        <w:rPr>
          <w:rFonts w:hint="eastAsia" w:ascii="Times New Roman" w:hAnsi="Times New Roman" w:eastAsia="仿宋_GB2312" w:cs="仿宋_GB2312"/>
          <w:bCs w:val="0"/>
          <w:color w:val="auto"/>
          <w:sz w:val="24"/>
          <w:szCs w:val="24"/>
          <w:highlight w:val="none"/>
        </w:rPr>
        <w:t>一、营业执照、事业单位法人证书、社会团体法人登记证书或其他组织登记证明文件副本（复印件加盖公章）</w:t>
      </w:r>
    </w:p>
    <w:p w14:paraId="498F6226">
      <w:pPr>
        <w:jc w:val="left"/>
        <w:rPr>
          <w:rFonts w:cs="仿宋_GB2312"/>
          <w:bCs/>
          <w:color w:val="auto"/>
          <w:sz w:val="24"/>
          <w:highlight w:val="none"/>
        </w:rPr>
      </w:pPr>
      <w:r>
        <w:rPr>
          <w:rFonts w:hint="eastAsia" w:cs="仿宋_GB2312"/>
          <w:bCs/>
          <w:color w:val="auto"/>
          <w:sz w:val="24"/>
          <w:highlight w:val="none"/>
        </w:rPr>
        <w:t xml:space="preserve">  </w:t>
      </w:r>
    </w:p>
    <w:p w14:paraId="1CB52C9D">
      <w:pPr>
        <w:jc w:val="left"/>
        <w:rPr>
          <w:rFonts w:cs="仿宋_GB2312"/>
          <w:color w:val="auto"/>
          <w:sz w:val="24"/>
          <w:highlight w:val="none"/>
        </w:rPr>
      </w:pPr>
    </w:p>
    <w:p w14:paraId="6D7D5095">
      <w:pPr>
        <w:pStyle w:val="5"/>
        <w:ind w:firstLine="482" w:firstLineChars="200"/>
        <w:rPr>
          <w:rFonts w:ascii="Times New Roman" w:hAnsi="Times New Roman" w:eastAsia="仿宋_GB2312" w:cs="仿宋_GB2312"/>
          <w:bCs w:val="0"/>
          <w:color w:val="auto"/>
          <w:sz w:val="24"/>
          <w:szCs w:val="24"/>
          <w:highlight w:val="none"/>
        </w:rPr>
      </w:pPr>
      <w:r>
        <w:rPr>
          <w:rFonts w:hint="eastAsia" w:ascii="Times New Roman" w:hAnsi="Times New Roman" w:eastAsia="仿宋_GB2312" w:cs="仿宋_GB2312"/>
          <w:bCs w:val="0"/>
          <w:color w:val="auto"/>
          <w:sz w:val="24"/>
          <w:szCs w:val="24"/>
          <w:highlight w:val="none"/>
        </w:rPr>
        <w:t>二、投标保证金缴存证明</w:t>
      </w:r>
    </w:p>
    <w:p w14:paraId="7B896441">
      <w:pPr>
        <w:jc w:val="left"/>
        <w:rPr>
          <w:rFonts w:cs="仿宋_GB2312"/>
          <w:b/>
          <w:bCs/>
          <w:color w:val="auto"/>
          <w:sz w:val="24"/>
          <w:highlight w:val="none"/>
        </w:rPr>
      </w:pPr>
      <w:r>
        <w:rPr>
          <w:rFonts w:hint="eastAsia" w:cs="仿宋_GB2312"/>
          <w:b/>
          <w:bCs/>
          <w:color w:val="auto"/>
          <w:sz w:val="24"/>
          <w:highlight w:val="none"/>
        </w:rPr>
        <w:t>（附投标保证金缴存复印件）</w:t>
      </w:r>
    </w:p>
    <w:p w14:paraId="60D802D4">
      <w:pPr>
        <w:jc w:val="left"/>
        <w:rPr>
          <w:rFonts w:cs="仿宋_GB2312"/>
          <w:color w:val="auto"/>
          <w:sz w:val="24"/>
          <w:highlight w:val="none"/>
        </w:rPr>
      </w:pPr>
    </w:p>
    <w:p w14:paraId="59F16A89">
      <w:pPr>
        <w:pStyle w:val="32"/>
        <w:jc w:val="left"/>
        <w:outlineLvl w:val="9"/>
        <w:rPr>
          <w:rFonts w:eastAsia="仿宋_GB2312" w:cs="仿宋_GB2312"/>
          <w:color w:val="auto"/>
          <w:sz w:val="24"/>
          <w:szCs w:val="24"/>
          <w:highlight w:val="none"/>
        </w:rPr>
      </w:pPr>
    </w:p>
    <w:p w14:paraId="1D90FCB6">
      <w:pPr>
        <w:pStyle w:val="5"/>
        <w:rPr>
          <w:rFonts w:ascii="Times New Roman" w:hAnsi="Times New Roman" w:eastAsia="仿宋_GB2312" w:cs="仿宋_GB2312"/>
          <w:bCs w:val="0"/>
          <w:color w:val="auto"/>
          <w:sz w:val="24"/>
          <w:szCs w:val="24"/>
          <w:highlight w:val="none"/>
        </w:rPr>
      </w:pPr>
      <w:r>
        <w:rPr>
          <w:rFonts w:hint="eastAsia" w:ascii="Times New Roman" w:hAnsi="Times New Roman" w:eastAsia="仿宋_GB2312" w:cs="仿宋_GB2312"/>
          <w:color w:val="auto"/>
          <w:sz w:val="24"/>
          <w:szCs w:val="24"/>
          <w:highlight w:val="none"/>
        </w:rPr>
        <w:t>三、</w:t>
      </w:r>
      <w:r>
        <w:rPr>
          <w:rFonts w:hint="eastAsia" w:ascii="Times New Roman" w:hAnsi="Times New Roman" w:eastAsia="仿宋_GB2312" w:cs="仿宋_GB2312"/>
          <w:bCs w:val="0"/>
          <w:color w:val="auto"/>
          <w:kern w:val="2"/>
          <w:sz w:val="24"/>
          <w:szCs w:val="24"/>
          <w:highlight w:val="none"/>
        </w:rPr>
        <w:t>其他资格条件证明材料（复印件加盖公章）</w:t>
      </w:r>
    </w:p>
    <w:p w14:paraId="5E3B9E05">
      <w:pPr>
        <w:adjustRightInd w:val="0"/>
        <w:snapToGrid w:val="0"/>
        <w:spacing w:line="360" w:lineRule="auto"/>
        <w:rPr>
          <w:rFonts w:cs="宋体"/>
          <w:b/>
          <w:bCs/>
          <w:color w:val="auto"/>
          <w:sz w:val="28"/>
          <w:szCs w:val="28"/>
          <w:highlight w:val="none"/>
        </w:rPr>
      </w:pPr>
    </w:p>
    <w:p w14:paraId="3029FFBB">
      <w:pPr>
        <w:rPr>
          <w:rFonts w:cs="宋体"/>
          <w:color w:val="auto"/>
          <w:sz w:val="24"/>
          <w:szCs w:val="21"/>
          <w:highlight w:val="none"/>
        </w:rPr>
      </w:pPr>
      <w:r>
        <w:rPr>
          <w:rFonts w:hint="eastAsia" w:cs="宋体"/>
          <w:color w:val="auto"/>
          <w:sz w:val="24"/>
          <w:szCs w:val="21"/>
          <w:highlight w:val="none"/>
        </w:rPr>
        <w:t>有效期内的特种设备生产（或制造）许可证（许可项目必须包含起重机械改造项目）</w:t>
      </w:r>
    </w:p>
    <w:p w14:paraId="56448193">
      <w:pPr>
        <w:pStyle w:val="25"/>
        <w:ind w:left="640"/>
        <w:rPr>
          <w:rFonts w:hint="default" w:ascii="Times New Roman" w:hAnsi="Times New Roman" w:cs="宋体"/>
          <w:color w:val="auto"/>
          <w:highlight w:val="none"/>
        </w:rPr>
      </w:pPr>
    </w:p>
    <w:p w14:paraId="1D2BB9AC">
      <w:pPr>
        <w:rPr>
          <w:rFonts w:cs="宋体"/>
          <w:b/>
          <w:bCs/>
          <w:color w:val="auto"/>
          <w:sz w:val="28"/>
          <w:szCs w:val="28"/>
          <w:highlight w:val="none"/>
        </w:rPr>
      </w:pPr>
      <w:r>
        <w:rPr>
          <w:rFonts w:hint="eastAsia" w:cs="宋体"/>
          <w:b/>
          <w:bCs/>
          <w:color w:val="auto"/>
          <w:sz w:val="28"/>
          <w:szCs w:val="28"/>
          <w:highlight w:val="none"/>
        </w:rPr>
        <w:br w:type="page"/>
      </w:r>
    </w:p>
    <w:p w14:paraId="317ECA16">
      <w:pPr>
        <w:rPr>
          <w:rFonts w:cs="宋体"/>
          <w:b/>
          <w:bCs/>
          <w:color w:val="auto"/>
          <w:sz w:val="28"/>
          <w:szCs w:val="28"/>
          <w:highlight w:val="none"/>
        </w:rPr>
      </w:pPr>
      <w:bookmarkStart w:id="130" w:name="_Toc83886044"/>
      <w:bookmarkStart w:id="131" w:name="_Toc18885"/>
    </w:p>
    <w:p w14:paraId="681B7639">
      <w:pPr>
        <w:wordWrap w:val="0"/>
        <w:spacing w:line="360" w:lineRule="auto"/>
        <w:jc w:val="center"/>
        <w:outlineLvl w:val="0"/>
        <w:rPr>
          <w:rFonts w:cs="仿宋_GB2312"/>
          <w:b/>
          <w:bCs/>
          <w:color w:val="auto"/>
          <w:sz w:val="24"/>
          <w:highlight w:val="none"/>
        </w:rPr>
      </w:pPr>
      <w:bookmarkStart w:id="132" w:name="_Toc16291"/>
      <w:r>
        <w:rPr>
          <w:rFonts w:hint="eastAsia" w:cs="仿宋_GB2312"/>
          <w:b/>
          <w:bCs/>
          <w:color w:val="auto"/>
          <w:sz w:val="24"/>
          <w:highlight w:val="none"/>
        </w:rPr>
        <w:t>第二部分、商务文件</w:t>
      </w:r>
      <w:bookmarkEnd w:id="130"/>
      <w:bookmarkEnd w:id="131"/>
      <w:bookmarkEnd w:id="132"/>
    </w:p>
    <w:p w14:paraId="00934672">
      <w:pPr>
        <w:pStyle w:val="5"/>
        <w:jc w:val="center"/>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一、投 标 函</w:t>
      </w:r>
    </w:p>
    <w:p w14:paraId="2D023FCF">
      <w:pPr>
        <w:adjustRightInd w:val="0"/>
        <w:snapToGrid w:val="0"/>
        <w:spacing w:line="360" w:lineRule="auto"/>
        <w:rPr>
          <w:rFonts w:cs="仿宋_GB2312"/>
          <w:color w:val="auto"/>
          <w:sz w:val="24"/>
          <w:highlight w:val="none"/>
          <w:u w:val="single"/>
        </w:rPr>
      </w:pPr>
      <w:r>
        <w:rPr>
          <w:rFonts w:hint="eastAsia" w:cs="仿宋_GB2312"/>
          <w:color w:val="auto"/>
          <w:sz w:val="24"/>
          <w:highlight w:val="none"/>
          <w:u w:val="single"/>
        </w:rPr>
        <w:t>杭州临江环境能源有限公司：</w:t>
      </w:r>
    </w:p>
    <w:p w14:paraId="4A56AB1C">
      <w:pPr>
        <w:adjustRightInd w:val="0"/>
        <w:snapToGrid w:val="0"/>
        <w:spacing w:line="360" w:lineRule="auto"/>
        <w:ind w:left="182" w:leftChars="57" w:firstLine="360" w:firstLineChars="150"/>
        <w:rPr>
          <w:rFonts w:cs="仿宋_GB2312"/>
          <w:color w:val="auto"/>
          <w:sz w:val="24"/>
          <w:highlight w:val="none"/>
        </w:rPr>
      </w:pPr>
      <w:r>
        <w:rPr>
          <w:rFonts w:hint="eastAsia" w:cs="仿宋_GB2312"/>
          <w:color w:val="auto"/>
          <w:sz w:val="24"/>
          <w:highlight w:val="none"/>
        </w:rPr>
        <w:t xml:space="preserve">1．我方仔细研究了 </w:t>
      </w:r>
      <w:r>
        <w:rPr>
          <w:rFonts w:hint="eastAsia" w:cs="仿宋_GB2312"/>
          <w:color w:val="auto"/>
          <w:sz w:val="24"/>
          <w:highlight w:val="none"/>
          <w:u w:val="single"/>
        </w:rPr>
        <w:t xml:space="preserve"> 2025年—2028年垃圾吊改造项目</w:t>
      </w:r>
      <w:r>
        <w:rPr>
          <w:rFonts w:hint="eastAsia" w:cs="仿宋_GB2312"/>
          <w:color w:val="auto"/>
          <w:sz w:val="24"/>
          <w:highlight w:val="none"/>
        </w:rPr>
        <w:t>（招标编号：</w:t>
      </w:r>
      <w:r>
        <w:rPr>
          <w:rFonts w:hint="eastAsia" w:cs="仿宋_GB2312"/>
          <w:color w:val="auto"/>
          <w:sz w:val="24"/>
          <w:highlight w:val="none"/>
          <w:u w:val="single"/>
        </w:rPr>
        <w:t xml:space="preserve">  </w:t>
      </w:r>
      <w:r>
        <w:rPr>
          <w:rFonts w:hint="eastAsia" w:cs="仿宋_GB2312"/>
          <w:color w:val="auto"/>
          <w:sz w:val="24"/>
          <w:highlight w:val="none"/>
          <w:u w:val="single"/>
          <w:lang w:eastAsia="zh-CN"/>
        </w:rPr>
        <w:t>NY-1FZB2505026</w:t>
      </w:r>
      <w:r>
        <w:rPr>
          <w:rFonts w:hint="eastAsia" w:cs="仿宋_GB2312"/>
          <w:color w:val="auto"/>
          <w:sz w:val="24"/>
          <w:highlight w:val="none"/>
          <w:u w:val="single"/>
        </w:rPr>
        <w:t xml:space="preserve"> </w:t>
      </w:r>
      <w:r>
        <w:rPr>
          <w:rFonts w:hint="eastAsia" w:cs="仿宋_GB2312"/>
          <w:color w:val="auto"/>
          <w:sz w:val="24"/>
          <w:highlight w:val="none"/>
        </w:rPr>
        <w:t>）招标文件（包括招标补充文件）的全部内容，愿意以人民币</w:t>
      </w:r>
      <w:r>
        <w:rPr>
          <w:rFonts w:hint="eastAsia" w:cs="仿宋_GB2312"/>
          <w:color w:val="auto"/>
          <w:sz w:val="24"/>
          <w:highlight w:val="none"/>
          <w:u w:val="single"/>
        </w:rPr>
        <w:t xml:space="preserve">（大写）       </w:t>
      </w:r>
      <w:r>
        <w:rPr>
          <w:rFonts w:hint="eastAsia" w:cs="仿宋_GB2312"/>
          <w:color w:val="auto"/>
          <w:sz w:val="24"/>
          <w:highlight w:val="none"/>
        </w:rPr>
        <w:t>元（¥</w:t>
      </w:r>
      <w:r>
        <w:rPr>
          <w:rFonts w:hint="eastAsia" w:cs="仿宋_GB2312"/>
          <w:color w:val="auto"/>
          <w:sz w:val="24"/>
          <w:highlight w:val="none"/>
          <w:u w:val="single"/>
        </w:rPr>
        <w:t xml:space="preserve">        </w:t>
      </w:r>
      <w:r>
        <w:rPr>
          <w:rFonts w:hint="eastAsia" w:cs="仿宋_GB2312"/>
          <w:color w:val="auto"/>
          <w:sz w:val="24"/>
          <w:highlight w:val="none"/>
        </w:rPr>
        <w:t>）的投标总报价承担本项目的相关工作，交货期（服务期）</w:t>
      </w:r>
      <w:r>
        <w:rPr>
          <w:rFonts w:hint="eastAsia" w:cs="仿宋_GB2312"/>
          <w:color w:val="auto"/>
          <w:sz w:val="24"/>
          <w:highlight w:val="none"/>
          <w:u w:val="single"/>
        </w:rPr>
        <w:t xml:space="preserve">     </w:t>
      </w:r>
      <w:r>
        <w:rPr>
          <w:rFonts w:hint="eastAsia" w:cs="仿宋_GB2312"/>
          <w:color w:val="auto"/>
          <w:sz w:val="24"/>
          <w:highlight w:val="none"/>
        </w:rPr>
        <w:t>，项目负责人</w:t>
      </w:r>
      <w:r>
        <w:rPr>
          <w:rFonts w:hint="eastAsia" w:cs="仿宋_GB2312"/>
          <w:color w:val="auto"/>
          <w:sz w:val="24"/>
          <w:highlight w:val="none"/>
          <w:u w:val="single"/>
        </w:rPr>
        <w:t xml:space="preserve">      </w:t>
      </w:r>
      <w:r>
        <w:rPr>
          <w:rFonts w:hint="eastAsia" w:cs="仿宋_GB2312"/>
          <w:color w:val="auto"/>
          <w:sz w:val="24"/>
          <w:highlight w:val="none"/>
        </w:rPr>
        <w:t>。</w:t>
      </w:r>
    </w:p>
    <w:p w14:paraId="79EF3E60">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2．我方承诺在投标有效期内不撤销投标文件（从投标截止日起90日历天）</w:t>
      </w:r>
      <w:r>
        <w:rPr>
          <w:rFonts w:hint="eastAsia" w:cs="仿宋_GB2312"/>
          <w:b/>
          <w:bCs/>
          <w:color w:val="auto"/>
          <w:sz w:val="24"/>
          <w:highlight w:val="none"/>
        </w:rPr>
        <w:t>注：按项目实际情况予以修改投标有效期</w:t>
      </w:r>
      <w:r>
        <w:rPr>
          <w:rFonts w:hint="eastAsia" w:cs="仿宋_GB2312"/>
          <w:color w:val="auto"/>
          <w:sz w:val="24"/>
          <w:highlight w:val="none"/>
        </w:rPr>
        <w:t>。</w:t>
      </w:r>
    </w:p>
    <w:p w14:paraId="6A38F24B">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3．我方已详细审查全部招标文件、包括修改文件（如需要修改）以及全部参考资料和有关附件。我们完全理解并同意放弃对这方面有不明及误解的权利。</w:t>
      </w:r>
    </w:p>
    <w:p w14:paraId="25B4062F">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4. 我方同意按照招标人要求提供与其招标有关的一切数据和资料，完全理解招标人不一定接受最低价的投标或收到的任何投标。</w:t>
      </w:r>
    </w:p>
    <w:p w14:paraId="065DF1E0">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5．如我方中标：</w:t>
      </w:r>
    </w:p>
    <w:p w14:paraId="5D14C5B6">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（1）我方承诺收到中标通知书后，在中标通知书规定的期限内与你方签订合同。</w:t>
      </w:r>
    </w:p>
    <w:p w14:paraId="00F1BED2">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（2）我方承诺按照招标文件规定向你方递交履约担保。</w:t>
      </w:r>
    </w:p>
    <w:p w14:paraId="553240C0">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（3）我方承诺在合同约定的期限内完成所有工作内容。</w:t>
      </w:r>
    </w:p>
    <w:p w14:paraId="03EAE404">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6．我方在此声明，所递交的投标文件及有关资料内容完整、真实和准确。</w:t>
      </w:r>
    </w:p>
    <w:p w14:paraId="653A195C">
      <w:pPr>
        <w:adjustRightInd w:val="0"/>
        <w:snapToGrid w:val="0"/>
        <w:spacing w:line="360" w:lineRule="auto"/>
        <w:ind w:firstLine="480" w:firstLineChars="200"/>
        <w:rPr>
          <w:rFonts w:cs="仿宋_GB2312"/>
          <w:color w:val="auto"/>
          <w:spacing w:val="6"/>
          <w:position w:val="1"/>
          <w:sz w:val="24"/>
          <w:highlight w:val="none"/>
        </w:rPr>
      </w:pPr>
      <w:r>
        <w:rPr>
          <w:rFonts w:hint="eastAsia" w:cs="仿宋_GB2312"/>
          <w:color w:val="auto"/>
          <w:sz w:val="24"/>
          <w:highlight w:val="none"/>
        </w:rPr>
        <w:t>7.如我方在响应过程中，发生招标文件规定的招标人可以不退还投标保证金的情形的，我方同意招标人</w:t>
      </w:r>
      <w:r>
        <w:rPr>
          <w:rFonts w:hint="eastAsia" w:cs="仿宋_GB2312"/>
          <w:color w:val="auto"/>
          <w:spacing w:val="6"/>
          <w:position w:val="1"/>
          <w:sz w:val="24"/>
          <w:highlight w:val="none"/>
        </w:rPr>
        <w:t>不退还我方缴纳的全部投标保证金。</w:t>
      </w:r>
    </w:p>
    <w:p w14:paraId="00EBC933">
      <w:pPr>
        <w:spacing w:line="440" w:lineRule="exact"/>
        <w:ind w:firstLine="504" w:firstLineChars="200"/>
        <w:contextualSpacing/>
        <w:rPr>
          <w:rFonts w:cs="仿宋_GB2312"/>
          <w:color w:val="auto"/>
          <w:sz w:val="24"/>
          <w:highlight w:val="none"/>
        </w:rPr>
      </w:pPr>
      <w:r>
        <w:rPr>
          <w:rFonts w:hint="eastAsia" w:cs="仿宋_GB2312"/>
          <w:color w:val="auto"/>
          <w:spacing w:val="6"/>
          <w:position w:val="1"/>
          <w:sz w:val="24"/>
          <w:highlight w:val="none"/>
        </w:rPr>
        <w:t>8.</w:t>
      </w:r>
      <w:r>
        <w:rPr>
          <w:rFonts w:hint="eastAsia" w:cs="仿宋_GB2312"/>
          <w:color w:val="auto"/>
          <w:sz w:val="24"/>
          <w:highlight w:val="none"/>
          <w:u w:val="single"/>
        </w:rPr>
        <w:t xml:space="preserve">                                   </w:t>
      </w:r>
      <w:r>
        <w:rPr>
          <w:rFonts w:hint="eastAsia" w:cs="仿宋_GB2312"/>
          <w:color w:val="auto"/>
          <w:sz w:val="24"/>
          <w:highlight w:val="none"/>
        </w:rPr>
        <w:t>（其他补充说明）。</w:t>
      </w:r>
    </w:p>
    <w:p w14:paraId="709256C8">
      <w:pPr>
        <w:spacing w:line="440" w:lineRule="exact"/>
        <w:contextualSpacing/>
        <w:rPr>
          <w:rFonts w:cs="仿宋_GB2312"/>
          <w:color w:val="auto"/>
          <w:sz w:val="24"/>
          <w:highlight w:val="none"/>
        </w:rPr>
      </w:pPr>
      <w:r>
        <w:rPr>
          <w:rFonts w:hint="eastAsia" w:cs="仿宋_GB2312"/>
          <w:color w:val="auto"/>
          <w:sz w:val="24"/>
          <w:highlight w:val="none"/>
        </w:rPr>
        <w:t>投标人</w:t>
      </w:r>
      <w:r>
        <w:rPr>
          <w:rFonts w:hint="eastAsia" w:cs="仿宋_GB2312"/>
          <w:color w:val="auto"/>
          <w:spacing w:val="-1"/>
          <w:sz w:val="24"/>
          <w:highlight w:val="none"/>
        </w:rPr>
        <w:t>：</w:t>
      </w:r>
      <w:r>
        <w:rPr>
          <w:rFonts w:hint="eastAsia" w:cs="仿宋_GB2312"/>
          <w:color w:val="auto"/>
          <w:sz w:val="24"/>
          <w:highlight w:val="none"/>
        </w:rPr>
        <w:t>（盖单位公章）</w:t>
      </w:r>
    </w:p>
    <w:p w14:paraId="39182BC5">
      <w:pPr>
        <w:rPr>
          <w:rFonts w:cs="仿宋_GB2312"/>
          <w:color w:val="auto"/>
          <w:sz w:val="24"/>
          <w:highlight w:val="none"/>
        </w:rPr>
      </w:pPr>
    </w:p>
    <w:p w14:paraId="6F540658">
      <w:pPr>
        <w:spacing w:line="440" w:lineRule="exact"/>
        <w:contextualSpacing/>
        <w:rPr>
          <w:rFonts w:cs="仿宋_GB2312"/>
          <w:color w:val="auto"/>
          <w:sz w:val="24"/>
          <w:highlight w:val="none"/>
        </w:rPr>
      </w:pPr>
      <w:r>
        <w:rPr>
          <w:rFonts w:hint="eastAsia" w:cs="仿宋_GB2312"/>
          <w:color w:val="auto"/>
          <w:sz w:val="24"/>
          <w:highlight w:val="none"/>
        </w:rPr>
        <w:t>法定代表人</w:t>
      </w:r>
      <w:r>
        <w:rPr>
          <w:rFonts w:hint="eastAsia" w:cs="仿宋_GB2312"/>
          <w:snapToGrid w:val="0"/>
          <w:color w:val="auto"/>
          <w:kern w:val="0"/>
          <w:sz w:val="24"/>
          <w:highlight w:val="none"/>
        </w:rPr>
        <w:t>（负责人）</w:t>
      </w:r>
      <w:r>
        <w:rPr>
          <w:rFonts w:hint="eastAsia" w:cs="仿宋_GB2312"/>
          <w:color w:val="auto"/>
          <w:sz w:val="24"/>
          <w:highlight w:val="none"/>
        </w:rPr>
        <w:t>或其委托代理人：（签字或盖章）</w:t>
      </w:r>
    </w:p>
    <w:p w14:paraId="05845FC0">
      <w:pPr>
        <w:spacing w:line="440" w:lineRule="exact"/>
        <w:contextualSpacing/>
        <w:rPr>
          <w:rFonts w:cs="仿宋_GB2312"/>
          <w:color w:val="auto"/>
          <w:sz w:val="24"/>
          <w:highlight w:val="none"/>
        </w:rPr>
      </w:pPr>
      <w:r>
        <w:rPr>
          <w:rFonts w:hint="eastAsia" w:cs="仿宋_GB2312"/>
          <w:color w:val="auto"/>
          <w:position w:val="15"/>
          <w:sz w:val="24"/>
          <w:highlight w:val="none"/>
        </w:rPr>
        <w:t xml:space="preserve">地   址 </w:t>
      </w:r>
      <w:r>
        <w:rPr>
          <w:rFonts w:hint="eastAsia" w:cs="仿宋_GB2312"/>
          <w:color w:val="auto"/>
          <w:spacing w:val="-69"/>
          <w:position w:val="15"/>
          <w:sz w:val="24"/>
          <w:highlight w:val="none"/>
        </w:rPr>
        <w:t>：</w:t>
      </w:r>
    </w:p>
    <w:p w14:paraId="4259ECF1">
      <w:pPr>
        <w:spacing w:line="440" w:lineRule="exact"/>
        <w:contextualSpacing/>
        <w:rPr>
          <w:rFonts w:cs="仿宋_GB2312"/>
          <w:color w:val="auto"/>
          <w:sz w:val="24"/>
          <w:highlight w:val="none"/>
        </w:rPr>
      </w:pPr>
      <w:r>
        <w:rPr>
          <w:rFonts w:hint="eastAsia" w:cs="仿宋_GB2312"/>
          <w:color w:val="auto"/>
          <w:spacing w:val="3"/>
          <w:sz w:val="24"/>
          <w:highlight w:val="none"/>
        </w:rPr>
        <w:t>邮政</w:t>
      </w:r>
      <w:r>
        <w:rPr>
          <w:rFonts w:hint="eastAsia" w:cs="仿宋_GB2312"/>
          <w:color w:val="auto"/>
          <w:spacing w:val="2"/>
          <w:sz w:val="24"/>
          <w:highlight w:val="none"/>
        </w:rPr>
        <w:t>编码</w:t>
      </w:r>
      <w:r>
        <w:rPr>
          <w:rFonts w:hint="eastAsia" w:cs="仿宋_GB2312"/>
          <w:color w:val="auto"/>
          <w:spacing w:val="4"/>
          <w:sz w:val="24"/>
          <w:highlight w:val="none"/>
        </w:rPr>
        <w:t>：</w:t>
      </w:r>
    </w:p>
    <w:p w14:paraId="0EE3A921">
      <w:pPr>
        <w:spacing w:line="440" w:lineRule="exact"/>
        <w:contextualSpacing/>
        <w:rPr>
          <w:rFonts w:cs="仿宋_GB2312"/>
          <w:color w:val="auto"/>
          <w:sz w:val="24"/>
          <w:highlight w:val="none"/>
        </w:rPr>
      </w:pPr>
      <w:r>
        <w:rPr>
          <w:rFonts w:hint="eastAsia" w:cs="仿宋_GB2312"/>
          <w:color w:val="auto"/>
          <w:sz w:val="24"/>
          <w:highlight w:val="none"/>
        </w:rPr>
        <w:t xml:space="preserve">电    话 </w:t>
      </w:r>
      <w:r>
        <w:rPr>
          <w:rFonts w:hint="eastAsia" w:cs="仿宋_GB2312"/>
          <w:color w:val="auto"/>
          <w:spacing w:val="-94"/>
          <w:sz w:val="24"/>
          <w:highlight w:val="none"/>
        </w:rPr>
        <w:t>：</w:t>
      </w:r>
    </w:p>
    <w:p w14:paraId="4EDC06B8">
      <w:pPr>
        <w:spacing w:line="440" w:lineRule="exact"/>
        <w:contextualSpacing/>
        <w:rPr>
          <w:rFonts w:cs="仿宋_GB2312"/>
          <w:color w:val="auto"/>
          <w:sz w:val="24"/>
          <w:highlight w:val="none"/>
        </w:rPr>
      </w:pPr>
      <w:r>
        <w:rPr>
          <w:rFonts w:hint="eastAsia" w:cs="仿宋_GB2312"/>
          <w:color w:val="auto"/>
          <w:sz w:val="24"/>
          <w:highlight w:val="none"/>
        </w:rPr>
        <w:t xml:space="preserve">传   真 </w:t>
      </w:r>
      <w:r>
        <w:rPr>
          <w:rFonts w:hint="eastAsia" w:cs="仿宋_GB2312"/>
          <w:color w:val="auto"/>
          <w:spacing w:val="-67"/>
          <w:sz w:val="24"/>
          <w:highlight w:val="none"/>
        </w:rPr>
        <w:t>：</w:t>
      </w:r>
    </w:p>
    <w:p w14:paraId="69FA8F5E">
      <w:pPr>
        <w:spacing w:line="440" w:lineRule="exact"/>
        <w:contextualSpacing/>
        <w:rPr>
          <w:rFonts w:cs="仿宋_GB2312"/>
          <w:color w:val="auto"/>
          <w:sz w:val="24"/>
          <w:highlight w:val="none"/>
        </w:rPr>
      </w:pPr>
      <w:r>
        <w:rPr>
          <w:rFonts w:hint="eastAsia" w:cs="仿宋_GB2312"/>
          <w:color w:val="auto"/>
          <w:spacing w:val="6"/>
          <w:sz w:val="24"/>
          <w:highlight w:val="none"/>
        </w:rPr>
        <w:t>开</w:t>
      </w:r>
      <w:r>
        <w:rPr>
          <w:rFonts w:hint="eastAsia" w:cs="仿宋_GB2312"/>
          <w:color w:val="auto"/>
          <w:spacing w:val="5"/>
          <w:sz w:val="24"/>
          <w:highlight w:val="none"/>
        </w:rPr>
        <w:t>户银行</w:t>
      </w:r>
      <w:r>
        <w:rPr>
          <w:rFonts w:hint="eastAsia" w:cs="仿宋_GB2312"/>
          <w:color w:val="auto"/>
          <w:spacing w:val="7"/>
          <w:sz w:val="24"/>
          <w:highlight w:val="none"/>
        </w:rPr>
        <w:t>：</w:t>
      </w:r>
    </w:p>
    <w:p w14:paraId="4C5AF0C6">
      <w:pPr>
        <w:spacing w:line="440" w:lineRule="exact"/>
        <w:contextualSpacing/>
        <w:rPr>
          <w:rFonts w:cs="仿宋_GB2312"/>
          <w:color w:val="auto"/>
          <w:sz w:val="24"/>
          <w:highlight w:val="none"/>
        </w:rPr>
      </w:pPr>
      <w:r>
        <w:rPr>
          <w:rFonts w:hint="eastAsia" w:cs="仿宋_GB2312"/>
          <w:color w:val="auto"/>
          <w:sz w:val="24"/>
          <w:highlight w:val="none"/>
        </w:rPr>
        <w:t xml:space="preserve">账   号 </w:t>
      </w:r>
      <w:r>
        <w:rPr>
          <w:rFonts w:hint="eastAsia" w:cs="仿宋_GB2312"/>
          <w:color w:val="auto"/>
          <w:spacing w:val="-72"/>
          <w:sz w:val="24"/>
          <w:highlight w:val="none"/>
        </w:rPr>
        <w:t>：</w:t>
      </w:r>
    </w:p>
    <w:p w14:paraId="57D3BDC9">
      <w:pPr>
        <w:spacing w:line="440" w:lineRule="exact"/>
        <w:contextualSpacing/>
        <w:rPr>
          <w:rFonts w:cs="仿宋_GB2312"/>
          <w:color w:val="auto"/>
          <w:sz w:val="24"/>
          <w:highlight w:val="none"/>
        </w:rPr>
      </w:pPr>
      <w:r>
        <w:rPr>
          <w:rFonts w:hint="eastAsia" w:cs="仿宋_GB2312"/>
          <w:color w:val="auto"/>
          <w:sz w:val="24"/>
          <w:highlight w:val="none"/>
        </w:rPr>
        <w:t xml:space="preserve">日   期 </w:t>
      </w:r>
      <w:r>
        <w:rPr>
          <w:rFonts w:hint="eastAsia" w:cs="仿宋_GB2312"/>
          <w:color w:val="auto"/>
          <w:spacing w:val="-1"/>
          <w:sz w:val="24"/>
          <w:highlight w:val="none"/>
        </w:rPr>
        <w:t>：</w:t>
      </w:r>
      <w:r>
        <w:rPr>
          <w:rFonts w:hint="eastAsia" w:cs="仿宋_GB2312"/>
          <w:color w:val="auto"/>
          <w:sz w:val="24"/>
          <w:highlight w:val="none"/>
        </w:rPr>
        <w:t>年   月   日</w:t>
      </w:r>
    </w:p>
    <w:p w14:paraId="7124AA66">
      <w:pPr>
        <w:spacing w:line="440" w:lineRule="exact"/>
        <w:rPr>
          <w:rFonts w:cs="仿宋_GB2312"/>
          <w:color w:val="auto"/>
          <w:sz w:val="24"/>
          <w:highlight w:val="none"/>
        </w:rPr>
        <w:sectPr>
          <w:pgSz w:w="11906" w:h="16838"/>
          <w:pgMar w:top="1440" w:right="1080" w:bottom="1440" w:left="1080" w:header="0" w:footer="714" w:gutter="0"/>
          <w:cols w:space="720" w:num="1"/>
          <w:docGrid w:linePitch="286" w:charSpace="0"/>
        </w:sectPr>
      </w:pPr>
    </w:p>
    <w:p w14:paraId="26A9F7DA">
      <w:pPr>
        <w:pStyle w:val="5"/>
        <w:jc w:val="center"/>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bCs w:val="0"/>
          <w:color w:val="auto"/>
          <w:sz w:val="24"/>
          <w:szCs w:val="24"/>
          <w:highlight w:val="none"/>
        </w:rPr>
        <w:t>二、投标报价明细表</w:t>
      </w:r>
    </w:p>
    <w:p w14:paraId="61963624">
      <w:pPr>
        <w:tabs>
          <w:tab w:val="left" w:pos="2580"/>
          <w:tab w:val="left" w:pos="5940"/>
        </w:tabs>
        <w:autoSpaceDE w:val="0"/>
        <w:autoSpaceDN w:val="0"/>
        <w:adjustRightInd w:val="0"/>
        <w:snapToGrid w:val="0"/>
        <w:spacing w:line="300" w:lineRule="auto"/>
        <w:ind w:right="-20"/>
        <w:rPr>
          <w:rFonts w:cs="仿宋_GB2312"/>
          <w:color w:val="auto"/>
          <w:kern w:val="0"/>
          <w:sz w:val="24"/>
          <w:highlight w:val="none"/>
        </w:rPr>
      </w:pPr>
    </w:p>
    <w:p w14:paraId="5AA7FC03">
      <w:pPr>
        <w:tabs>
          <w:tab w:val="left" w:pos="2580"/>
          <w:tab w:val="left" w:pos="5940"/>
        </w:tabs>
        <w:autoSpaceDE w:val="0"/>
        <w:autoSpaceDN w:val="0"/>
        <w:adjustRightInd w:val="0"/>
        <w:snapToGrid w:val="0"/>
        <w:spacing w:line="300" w:lineRule="auto"/>
        <w:ind w:right="-20"/>
        <w:rPr>
          <w:rFonts w:cs="仿宋_GB2312"/>
          <w:color w:val="auto"/>
          <w:kern w:val="0"/>
          <w:sz w:val="24"/>
          <w:highlight w:val="none"/>
          <w:u w:val="single"/>
        </w:rPr>
      </w:pPr>
      <w:r>
        <w:rPr>
          <w:rFonts w:hint="eastAsia" w:cs="仿宋_GB2312"/>
          <w:color w:val="auto"/>
          <w:kern w:val="0"/>
          <w:sz w:val="24"/>
          <w:highlight w:val="none"/>
        </w:rPr>
        <w:t>项目名称：</w:t>
      </w:r>
      <w:r>
        <w:rPr>
          <w:rFonts w:hint="eastAsia" w:cs="仿宋_GB2312"/>
          <w:color w:val="auto"/>
          <w:kern w:val="0"/>
          <w:sz w:val="24"/>
          <w:highlight w:val="none"/>
          <w:u w:val="single"/>
        </w:rPr>
        <w:t xml:space="preserve">  2025年—2028年垃圾吊改造项目 </w:t>
      </w:r>
    </w:p>
    <w:p w14:paraId="797BDF5F">
      <w:pPr>
        <w:tabs>
          <w:tab w:val="left" w:pos="180"/>
          <w:tab w:val="left" w:pos="900"/>
        </w:tabs>
        <w:spacing w:line="360" w:lineRule="exact"/>
        <w:ind w:right="420"/>
        <w:rPr>
          <w:rFonts w:cs="仿宋_GB2312"/>
          <w:color w:val="auto"/>
          <w:kern w:val="0"/>
          <w:sz w:val="24"/>
          <w:highlight w:val="none"/>
          <w:u w:val="single"/>
        </w:rPr>
      </w:pPr>
      <w:r>
        <w:rPr>
          <w:rFonts w:hint="eastAsia" w:cs="仿宋_GB2312"/>
          <w:color w:val="auto"/>
          <w:kern w:val="0"/>
          <w:sz w:val="24"/>
          <w:highlight w:val="none"/>
        </w:rPr>
        <w:t>招标编号：</w:t>
      </w:r>
      <w:r>
        <w:rPr>
          <w:rFonts w:hint="eastAsia" w:cs="仿宋_GB2312"/>
          <w:color w:val="auto"/>
          <w:kern w:val="0"/>
          <w:sz w:val="24"/>
          <w:highlight w:val="none"/>
          <w:u w:val="single"/>
        </w:rPr>
        <w:t xml:space="preserve">  </w:t>
      </w:r>
      <w:r>
        <w:rPr>
          <w:rFonts w:hint="eastAsia" w:cs="仿宋_GB2312"/>
          <w:color w:val="auto"/>
          <w:kern w:val="0"/>
          <w:sz w:val="24"/>
          <w:highlight w:val="none"/>
          <w:u w:val="single"/>
          <w:lang w:eastAsia="zh-CN"/>
        </w:rPr>
        <w:t>NY-1FZB2505026</w:t>
      </w:r>
      <w:r>
        <w:rPr>
          <w:rFonts w:hint="eastAsia" w:cs="仿宋_GB2312"/>
          <w:color w:val="auto"/>
          <w:kern w:val="0"/>
          <w:sz w:val="24"/>
          <w:highlight w:val="none"/>
          <w:u w:val="single"/>
        </w:rPr>
        <w:t xml:space="preserve">   </w:t>
      </w:r>
    </w:p>
    <w:p w14:paraId="20352903">
      <w:pPr>
        <w:tabs>
          <w:tab w:val="left" w:pos="180"/>
          <w:tab w:val="left" w:pos="900"/>
        </w:tabs>
        <w:spacing w:line="360" w:lineRule="exact"/>
        <w:ind w:right="420"/>
        <w:rPr>
          <w:rFonts w:cs="仿宋_GB2312"/>
          <w:color w:val="auto"/>
          <w:kern w:val="0"/>
          <w:sz w:val="24"/>
          <w:highlight w:val="none"/>
          <w:u w:val="single"/>
        </w:rPr>
      </w:pPr>
    </w:p>
    <w:p w14:paraId="32732857">
      <w:pPr>
        <w:tabs>
          <w:tab w:val="left" w:pos="180"/>
          <w:tab w:val="left" w:pos="900"/>
        </w:tabs>
        <w:spacing w:line="360" w:lineRule="exact"/>
        <w:ind w:right="420"/>
        <w:rPr>
          <w:rFonts w:cs="仿宋_GB2312"/>
          <w:color w:val="auto"/>
          <w:kern w:val="0"/>
          <w:sz w:val="24"/>
          <w:highlight w:val="none"/>
          <w:u w:val="single"/>
        </w:rPr>
      </w:pPr>
    </w:p>
    <w:tbl>
      <w:tblPr>
        <w:tblStyle w:val="26"/>
        <w:tblW w:w="10136" w:type="dxa"/>
        <w:jc w:val="center"/>
        <w:tblLayout w:type="fixed"/>
        <w:tblCellMar>
          <w:top w:w="0" w:type="dxa"/>
          <w:left w:w="108" w:type="dxa"/>
          <w:bottom w:w="0" w:type="dxa"/>
          <w:right w:w="108" w:type="dxa"/>
        </w:tblCellMar>
      </w:tblPr>
      <w:tblGrid>
        <w:gridCol w:w="615"/>
        <w:gridCol w:w="1843"/>
        <w:gridCol w:w="1631"/>
        <w:gridCol w:w="1756"/>
        <w:gridCol w:w="1225"/>
        <w:gridCol w:w="1483"/>
        <w:gridCol w:w="1583"/>
      </w:tblGrid>
      <w:tr w14:paraId="5D35652F">
        <w:tblPrEx>
          <w:tblCellMar>
            <w:top w:w="0" w:type="dxa"/>
            <w:left w:w="108" w:type="dxa"/>
            <w:bottom w:w="0" w:type="dxa"/>
            <w:right w:w="108" w:type="dxa"/>
          </w:tblCellMar>
        </w:tblPrEx>
        <w:trPr>
          <w:trHeight w:val="6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59B1">
            <w:pPr>
              <w:tabs>
                <w:tab w:val="left" w:pos="180"/>
                <w:tab w:val="left" w:pos="900"/>
              </w:tabs>
              <w:adjustRightInd w:val="0"/>
              <w:snapToGrid w:val="0"/>
              <w:ind w:right="420"/>
              <w:jc w:val="center"/>
              <w:rPr>
                <w:rFonts w:cs="仿宋_GB2312"/>
                <w:color w:val="auto"/>
                <w:sz w:val="24"/>
                <w:highlight w:val="none"/>
              </w:rPr>
            </w:pPr>
            <w:r>
              <w:rPr>
                <w:rFonts w:hint="eastAsia" w:cs="仿宋_GB2312"/>
                <w:color w:val="auto"/>
                <w:sz w:val="24"/>
                <w:highlight w:val="none"/>
              </w:rPr>
              <w:t>序号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84BD">
            <w:pPr>
              <w:tabs>
                <w:tab w:val="left" w:pos="180"/>
                <w:tab w:val="left" w:pos="900"/>
              </w:tabs>
              <w:adjustRightInd w:val="0"/>
              <w:snapToGrid w:val="0"/>
              <w:ind w:right="420"/>
              <w:jc w:val="center"/>
              <w:rPr>
                <w:rFonts w:cs="仿宋_GB2312"/>
                <w:color w:val="auto"/>
                <w:sz w:val="24"/>
                <w:highlight w:val="none"/>
              </w:rPr>
            </w:pPr>
            <w:r>
              <w:rPr>
                <w:rFonts w:hint="eastAsia" w:cs="仿宋_GB2312"/>
                <w:color w:val="auto"/>
                <w:sz w:val="24"/>
                <w:highlight w:val="none"/>
              </w:rPr>
              <w:t>名称</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0B4B">
            <w:pPr>
              <w:tabs>
                <w:tab w:val="left" w:pos="180"/>
                <w:tab w:val="left" w:pos="900"/>
              </w:tabs>
              <w:adjustRightInd w:val="0"/>
              <w:snapToGrid w:val="0"/>
              <w:ind w:right="420"/>
              <w:jc w:val="center"/>
              <w:rPr>
                <w:rFonts w:cs="仿宋_GB2312"/>
                <w:color w:val="auto"/>
                <w:sz w:val="24"/>
                <w:highlight w:val="none"/>
              </w:rPr>
            </w:pPr>
            <w:r>
              <w:rPr>
                <w:rFonts w:hint="eastAsia" w:cs="仿宋_GB2312"/>
                <w:color w:val="auto"/>
                <w:sz w:val="24"/>
                <w:highlight w:val="none"/>
              </w:rPr>
              <w:t>要求</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24C5">
            <w:pPr>
              <w:tabs>
                <w:tab w:val="left" w:pos="180"/>
                <w:tab w:val="left" w:pos="900"/>
              </w:tabs>
              <w:adjustRightInd w:val="0"/>
              <w:snapToGrid w:val="0"/>
              <w:ind w:right="420"/>
              <w:jc w:val="center"/>
              <w:rPr>
                <w:rFonts w:cs="仿宋_GB2312"/>
                <w:color w:val="auto"/>
                <w:sz w:val="24"/>
                <w:highlight w:val="none"/>
              </w:rPr>
            </w:pPr>
            <w:r>
              <w:rPr>
                <w:rFonts w:hint="eastAsia" w:cs="仿宋_GB2312"/>
                <w:color w:val="auto"/>
                <w:sz w:val="24"/>
                <w:highlight w:val="none"/>
              </w:rPr>
              <w:t>服务期限</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264">
            <w:pPr>
              <w:tabs>
                <w:tab w:val="left" w:pos="180"/>
                <w:tab w:val="left" w:pos="900"/>
              </w:tabs>
              <w:adjustRightInd w:val="0"/>
              <w:snapToGrid w:val="0"/>
              <w:ind w:right="420"/>
              <w:jc w:val="center"/>
              <w:rPr>
                <w:rFonts w:cs="仿宋_GB2312"/>
                <w:color w:val="auto"/>
                <w:sz w:val="24"/>
                <w:highlight w:val="none"/>
              </w:rPr>
            </w:pPr>
            <w:r>
              <w:rPr>
                <w:rFonts w:hint="eastAsia" w:cs="仿宋_GB2312"/>
                <w:color w:val="auto"/>
                <w:sz w:val="24"/>
                <w:highlight w:val="none"/>
              </w:rPr>
              <w:t>数量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1497">
            <w:pPr>
              <w:tabs>
                <w:tab w:val="left" w:pos="180"/>
                <w:tab w:val="left" w:pos="900"/>
              </w:tabs>
              <w:adjustRightInd w:val="0"/>
              <w:snapToGrid w:val="0"/>
              <w:ind w:right="420"/>
              <w:jc w:val="both"/>
              <w:rPr>
                <w:rFonts w:cs="仿宋_GB2312"/>
                <w:color w:val="auto"/>
                <w:sz w:val="24"/>
                <w:highlight w:val="none"/>
              </w:rPr>
            </w:pPr>
            <w:r>
              <w:rPr>
                <w:rFonts w:hint="eastAsia" w:cs="仿宋_GB2312"/>
                <w:color w:val="auto"/>
                <w:sz w:val="24"/>
                <w:highlight w:val="none"/>
              </w:rPr>
              <w:t>含税单价（元</w:t>
            </w:r>
            <w:r>
              <w:rPr>
                <w:rFonts w:hint="eastAsia" w:cs="仿宋_GB2312"/>
                <w:color w:val="auto"/>
                <w:sz w:val="24"/>
                <w:highlight w:val="none"/>
                <w:lang w:val="en-US" w:eastAsia="zh-CN"/>
              </w:rPr>
              <w:t>/台</w:t>
            </w:r>
            <w:r>
              <w:rPr>
                <w:rFonts w:hint="eastAsia" w:cs="仿宋_GB2312"/>
                <w:color w:val="auto"/>
                <w:sz w:val="24"/>
                <w:highlight w:val="none"/>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ABAB">
            <w:pPr>
              <w:tabs>
                <w:tab w:val="left" w:pos="180"/>
                <w:tab w:val="left" w:pos="900"/>
              </w:tabs>
              <w:adjustRightInd w:val="0"/>
              <w:snapToGrid w:val="0"/>
              <w:ind w:right="420"/>
              <w:jc w:val="center"/>
              <w:rPr>
                <w:rFonts w:cs="仿宋_GB2312"/>
                <w:color w:val="auto"/>
                <w:sz w:val="24"/>
                <w:highlight w:val="none"/>
              </w:rPr>
            </w:pPr>
            <w:r>
              <w:rPr>
                <w:rFonts w:hint="eastAsia" w:cs="仿宋_GB2312"/>
                <w:color w:val="auto"/>
                <w:sz w:val="24"/>
                <w:highlight w:val="none"/>
              </w:rPr>
              <w:t>含税金额（元）</w:t>
            </w:r>
          </w:p>
        </w:tc>
      </w:tr>
      <w:tr w14:paraId="7A9540D5">
        <w:tblPrEx>
          <w:tblCellMar>
            <w:top w:w="0" w:type="dxa"/>
            <w:left w:w="108" w:type="dxa"/>
            <w:bottom w:w="0" w:type="dxa"/>
            <w:right w:w="108" w:type="dxa"/>
          </w:tblCellMar>
        </w:tblPrEx>
        <w:trPr>
          <w:trHeight w:val="88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A067">
            <w:pPr>
              <w:tabs>
                <w:tab w:val="left" w:pos="180"/>
                <w:tab w:val="left" w:pos="900"/>
              </w:tabs>
              <w:adjustRightInd w:val="0"/>
              <w:snapToGrid w:val="0"/>
              <w:ind w:right="420"/>
              <w:jc w:val="center"/>
              <w:rPr>
                <w:rFonts w:cs="仿宋_GB2312"/>
                <w:color w:val="auto"/>
                <w:sz w:val="24"/>
                <w:highlight w:val="none"/>
              </w:rPr>
            </w:pPr>
            <w:bookmarkStart w:id="133" w:name="OLE_LINK3" w:colFirst="3" w:colLast="4"/>
            <w:r>
              <w:rPr>
                <w:rFonts w:hint="eastAsia" w:cs="仿宋_GB2312"/>
                <w:color w:val="auto"/>
                <w:sz w:val="24"/>
                <w:highlight w:val="none"/>
              </w:rPr>
              <w:t>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7193">
            <w:pPr>
              <w:tabs>
                <w:tab w:val="left" w:pos="180"/>
                <w:tab w:val="left" w:pos="900"/>
              </w:tabs>
              <w:adjustRightInd w:val="0"/>
              <w:snapToGrid w:val="0"/>
              <w:ind w:right="420"/>
              <w:jc w:val="center"/>
              <w:rPr>
                <w:rFonts w:cs="仿宋_GB2312"/>
                <w:color w:val="auto"/>
                <w:sz w:val="24"/>
                <w:highlight w:val="none"/>
              </w:rPr>
            </w:pPr>
            <w:r>
              <w:rPr>
                <w:rFonts w:hint="eastAsia" w:cs="仿宋_GB2312"/>
                <w:color w:val="auto"/>
                <w:sz w:val="24"/>
                <w:highlight w:val="none"/>
              </w:rPr>
              <w:t>垃圾吊改造服务</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EC4B">
            <w:pPr>
              <w:tabs>
                <w:tab w:val="left" w:pos="180"/>
                <w:tab w:val="left" w:pos="900"/>
              </w:tabs>
              <w:adjustRightInd w:val="0"/>
              <w:snapToGrid w:val="0"/>
              <w:ind w:right="420"/>
              <w:jc w:val="center"/>
              <w:rPr>
                <w:rFonts w:cs="仿宋_GB2312"/>
                <w:color w:val="auto"/>
                <w:sz w:val="24"/>
                <w:highlight w:val="none"/>
              </w:rPr>
            </w:pPr>
            <w:r>
              <w:rPr>
                <w:rFonts w:hint="eastAsia" w:cs="仿宋_GB2312"/>
                <w:color w:val="auto"/>
                <w:sz w:val="24"/>
                <w:highlight w:val="none"/>
              </w:rPr>
              <w:t>具体详见招标人需求</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D590">
            <w:pPr>
              <w:tabs>
                <w:tab w:val="left" w:pos="180"/>
                <w:tab w:val="left" w:pos="900"/>
              </w:tabs>
              <w:adjustRightInd w:val="0"/>
              <w:snapToGrid w:val="0"/>
              <w:ind w:right="420"/>
              <w:jc w:val="center"/>
              <w:rPr>
                <w:rFonts w:cs="仿宋_GB2312"/>
                <w:color w:val="auto"/>
                <w:sz w:val="24"/>
                <w:highlight w:val="none"/>
              </w:rPr>
            </w:pPr>
            <w:r>
              <w:rPr>
                <w:rFonts w:hint="eastAsia" w:cs="仿宋_GB2312"/>
                <w:color w:val="auto"/>
                <w:sz w:val="24"/>
                <w:highlight w:val="none"/>
              </w:rPr>
              <w:t>4年内逐台完成改造</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A066">
            <w:pPr>
              <w:tabs>
                <w:tab w:val="left" w:pos="180"/>
                <w:tab w:val="left" w:pos="900"/>
              </w:tabs>
              <w:adjustRightInd w:val="0"/>
              <w:snapToGrid w:val="0"/>
              <w:ind w:right="420"/>
              <w:jc w:val="center"/>
              <w:rPr>
                <w:rFonts w:cs="仿宋_GB2312"/>
                <w:color w:val="auto"/>
                <w:sz w:val="24"/>
                <w:highlight w:val="none"/>
              </w:rPr>
            </w:pPr>
            <w:r>
              <w:rPr>
                <w:rFonts w:hint="eastAsia" w:cs="仿宋_GB2312"/>
                <w:color w:val="auto"/>
                <w:sz w:val="24"/>
                <w:highlight w:val="none"/>
              </w:rPr>
              <w:t>6台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2D8B">
            <w:pPr>
              <w:tabs>
                <w:tab w:val="left" w:pos="180"/>
                <w:tab w:val="left" w:pos="900"/>
              </w:tabs>
              <w:adjustRightInd w:val="0"/>
              <w:snapToGrid w:val="0"/>
              <w:ind w:right="420"/>
              <w:jc w:val="center"/>
              <w:rPr>
                <w:rFonts w:cs="仿宋_GB2312"/>
                <w:color w:val="auto"/>
                <w:sz w:val="24"/>
                <w:highlight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E1B8">
            <w:pPr>
              <w:tabs>
                <w:tab w:val="left" w:pos="180"/>
                <w:tab w:val="left" w:pos="900"/>
              </w:tabs>
              <w:adjustRightInd w:val="0"/>
              <w:snapToGrid w:val="0"/>
              <w:ind w:right="420"/>
              <w:jc w:val="center"/>
              <w:rPr>
                <w:rFonts w:cs="仿宋_GB2312"/>
                <w:color w:val="auto"/>
                <w:sz w:val="24"/>
                <w:highlight w:val="none"/>
              </w:rPr>
            </w:pPr>
          </w:p>
        </w:tc>
      </w:tr>
      <w:bookmarkEnd w:id="133"/>
      <w:tr w14:paraId="4E04728B">
        <w:tblPrEx>
          <w:tblCellMar>
            <w:top w:w="0" w:type="dxa"/>
            <w:left w:w="108" w:type="dxa"/>
            <w:bottom w:w="0" w:type="dxa"/>
            <w:right w:w="108" w:type="dxa"/>
          </w:tblCellMar>
        </w:tblPrEx>
        <w:trPr>
          <w:trHeight w:val="515" w:hRule="atLeast"/>
          <w:jc w:val="center"/>
        </w:trPr>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2849">
            <w:pPr>
              <w:tabs>
                <w:tab w:val="left" w:pos="180"/>
                <w:tab w:val="left" w:pos="900"/>
              </w:tabs>
              <w:adjustRightInd w:val="0"/>
              <w:snapToGrid w:val="0"/>
              <w:ind w:right="420"/>
              <w:rPr>
                <w:rFonts w:cs="仿宋_GB2312"/>
                <w:color w:val="auto"/>
                <w:sz w:val="24"/>
                <w:highlight w:val="none"/>
              </w:rPr>
            </w:pPr>
            <w:r>
              <w:rPr>
                <w:rFonts w:hint="eastAsia" w:cs="仿宋_GB2312"/>
                <w:color w:val="auto"/>
                <w:sz w:val="24"/>
                <w:highlight w:val="none"/>
              </w:rPr>
              <w:t>含税报价合计（小写）</w:t>
            </w:r>
          </w:p>
        </w:tc>
        <w:tc>
          <w:tcPr>
            <w:tcW w:w="7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74A91">
            <w:pPr>
              <w:tabs>
                <w:tab w:val="left" w:pos="180"/>
                <w:tab w:val="left" w:pos="900"/>
              </w:tabs>
              <w:adjustRightInd w:val="0"/>
              <w:snapToGrid w:val="0"/>
              <w:ind w:right="420"/>
              <w:rPr>
                <w:rFonts w:cs="仿宋_GB2312"/>
                <w:color w:val="auto"/>
                <w:sz w:val="24"/>
                <w:highlight w:val="none"/>
              </w:rPr>
            </w:pPr>
          </w:p>
        </w:tc>
      </w:tr>
      <w:tr w14:paraId="08DA116F">
        <w:tblPrEx>
          <w:tblCellMar>
            <w:top w:w="0" w:type="dxa"/>
            <w:left w:w="108" w:type="dxa"/>
            <w:bottom w:w="0" w:type="dxa"/>
            <w:right w:w="108" w:type="dxa"/>
          </w:tblCellMar>
        </w:tblPrEx>
        <w:trPr>
          <w:trHeight w:val="515" w:hRule="atLeast"/>
          <w:jc w:val="center"/>
        </w:trPr>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1E7B">
            <w:pPr>
              <w:tabs>
                <w:tab w:val="left" w:pos="180"/>
                <w:tab w:val="left" w:pos="900"/>
              </w:tabs>
              <w:adjustRightInd w:val="0"/>
              <w:snapToGrid w:val="0"/>
              <w:ind w:right="420"/>
              <w:rPr>
                <w:rFonts w:cs="仿宋_GB2312"/>
                <w:color w:val="auto"/>
                <w:sz w:val="24"/>
                <w:highlight w:val="none"/>
              </w:rPr>
            </w:pPr>
            <w:r>
              <w:rPr>
                <w:rFonts w:hint="eastAsia" w:cs="仿宋_GB2312"/>
                <w:color w:val="auto"/>
                <w:sz w:val="24"/>
                <w:highlight w:val="none"/>
              </w:rPr>
              <w:t>含税报价合计（大写）</w:t>
            </w:r>
          </w:p>
        </w:tc>
        <w:tc>
          <w:tcPr>
            <w:tcW w:w="7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D2250">
            <w:pPr>
              <w:tabs>
                <w:tab w:val="left" w:pos="180"/>
                <w:tab w:val="left" w:pos="900"/>
              </w:tabs>
              <w:adjustRightInd w:val="0"/>
              <w:snapToGrid w:val="0"/>
              <w:ind w:right="420"/>
              <w:rPr>
                <w:rFonts w:cs="仿宋_GB2312"/>
                <w:color w:val="auto"/>
                <w:sz w:val="24"/>
                <w:highlight w:val="none"/>
              </w:rPr>
            </w:pPr>
          </w:p>
        </w:tc>
      </w:tr>
      <w:tr w14:paraId="31D612F3">
        <w:tblPrEx>
          <w:tblCellMar>
            <w:top w:w="0" w:type="dxa"/>
            <w:left w:w="108" w:type="dxa"/>
            <w:bottom w:w="0" w:type="dxa"/>
            <w:right w:w="108" w:type="dxa"/>
          </w:tblCellMar>
        </w:tblPrEx>
        <w:trPr>
          <w:trHeight w:val="428" w:hRule="atLeast"/>
          <w:jc w:val="center"/>
        </w:trPr>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95E8">
            <w:pPr>
              <w:tabs>
                <w:tab w:val="left" w:pos="180"/>
                <w:tab w:val="left" w:pos="900"/>
              </w:tabs>
              <w:adjustRightInd w:val="0"/>
              <w:snapToGrid w:val="0"/>
              <w:ind w:right="420"/>
              <w:rPr>
                <w:rFonts w:cs="仿宋_GB2312"/>
                <w:color w:val="auto"/>
                <w:sz w:val="24"/>
                <w:highlight w:val="none"/>
              </w:rPr>
            </w:pPr>
            <w:r>
              <w:rPr>
                <w:rFonts w:hint="eastAsia" w:cs="仿宋_GB2312"/>
                <w:color w:val="auto"/>
                <w:sz w:val="24"/>
                <w:highlight w:val="none"/>
              </w:rPr>
              <w:t>税率</w:t>
            </w:r>
          </w:p>
        </w:tc>
        <w:tc>
          <w:tcPr>
            <w:tcW w:w="7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2C32A">
            <w:pPr>
              <w:tabs>
                <w:tab w:val="left" w:pos="180"/>
                <w:tab w:val="left" w:pos="900"/>
              </w:tabs>
              <w:adjustRightInd w:val="0"/>
              <w:snapToGrid w:val="0"/>
              <w:ind w:right="420"/>
              <w:jc w:val="center"/>
              <w:rPr>
                <w:rFonts w:cs="仿宋_GB2312"/>
                <w:color w:val="auto"/>
                <w:sz w:val="24"/>
                <w:highlight w:val="none"/>
              </w:rPr>
            </w:pPr>
            <w:r>
              <w:rPr>
                <w:rFonts w:hint="eastAsia" w:cs="仿宋_GB2312"/>
                <w:color w:val="auto"/>
                <w:sz w:val="24"/>
                <w:highlight w:val="none"/>
              </w:rPr>
              <w:t>税率：</w:t>
            </w:r>
            <w:r>
              <w:rPr>
                <w:rFonts w:hint="eastAsia" w:cs="仿宋_GB2312"/>
                <w:color w:val="auto"/>
                <w:sz w:val="24"/>
                <w:highlight w:val="none"/>
                <w:u w:val="single"/>
              </w:rPr>
              <w:t xml:space="preserve">    %</w:t>
            </w:r>
          </w:p>
        </w:tc>
      </w:tr>
    </w:tbl>
    <w:p w14:paraId="7CA1D54E">
      <w:pPr>
        <w:tabs>
          <w:tab w:val="left" w:pos="180"/>
          <w:tab w:val="left" w:pos="900"/>
        </w:tabs>
        <w:spacing w:line="360" w:lineRule="exact"/>
        <w:ind w:right="420"/>
        <w:rPr>
          <w:rFonts w:cs="仿宋_GB2312"/>
          <w:color w:val="auto"/>
          <w:sz w:val="24"/>
          <w:highlight w:val="none"/>
        </w:rPr>
      </w:pPr>
    </w:p>
    <w:p w14:paraId="67811A27">
      <w:pPr>
        <w:tabs>
          <w:tab w:val="left" w:pos="180"/>
          <w:tab w:val="left" w:pos="900"/>
        </w:tabs>
        <w:spacing w:line="360" w:lineRule="exact"/>
        <w:ind w:right="420"/>
        <w:rPr>
          <w:rFonts w:cs="仿宋_GB2312"/>
          <w:color w:val="auto"/>
          <w:sz w:val="24"/>
          <w:highlight w:val="none"/>
        </w:rPr>
      </w:pPr>
    </w:p>
    <w:p w14:paraId="5ED53E15">
      <w:pPr>
        <w:tabs>
          <w:tab w:val="left" w:pos="180"/>
          <w:tab w:val="left" w:pos="900"/>
        </w:tabs>
        <w:spacing w:line="360" w:lineRule="exact"/>
        <w:ind w:right="420"/>
        <w:rPr>
          <w:rFonts w:cs="仿宋_GB2312"/>
          <w:color w:val="auto"/>
          <w:kern w:val="0"/>
          <w:sz w:val="24"/>
          <w:highlight w:val="none"/>
          <w:u w:val="single"/>
        </w:rPr>
      </w:pPr>
    </w:p>
    <w:p w14:paraId="35BB8565">
      <w:pPr>
        <w:tabs>
          <w:tab w:val="left" w:pos="180"/>
          <w:tab w:val="left" w:pos="900"/>
        </w:tabs>
        <w:spacing w:line="360" w:lineRule="exact"/>
        <w:ind w:right="420"/>
        <w:rPr>
          <w:rFonts w:cs="仿宋_GB2312"/>
          <w:color w:val="auto"/>
          <w:kern w:val="0"/>
          <w:sz w:val="24"/>
          <w:highlight w:val="none"/>
          <w:u w:val="single"/>
        </w:rPr>
      </w:pPr>
    </w:p>
    <w:p w14:paraId="75F93E64">
      <w:pPr>
        <w:tabs>
          <w:tab w:val="left" w:pos="180"/>
          <w:tab w:val="left" w:pos="900"/>
        </w:tabs>
        <w:spacing w:line="360" w:lineRule="exact"/>
        <w:ind w:right="420"/>
        <w:rPr>
          <w:rFonts w:cs="仿宋_GB2312"/>
          <w:color w:val="auto"/>
          <w:sz w:val="24"/>
          <w:highlight w:val="none"/>
        </w:rPr>
      </w:pPr>
      <w:r>
        <w:rPr>
          <w:rFonts w:hint="eastAsia" w:cs="仿宋_GB2312"/>
          <w:color w:val="auto"/>
          <w:sz w:val="24"/>
          <w:highlight w:val="none"/>
        </w:rPr>
        <w:t>注：1.投标人需按本表格式填写，</w:t>
      </w:r>
      <w:r>
        <w:rPr>
          <w:rFonts w:hint="eastAsia" w:cs="仿宋_GB2312"/>
          <w:color w:val="auto"/>
          <w:sz w:val="24"/>
          <w:highlight w:val="none"/>
          <w:lang w:val="zh-CN"/>
        </w:rPr>
        <w:t>栏数不够可自加</w:t>
      </w:r>
      <w:r>
        <w:rPr>
          <w:rFonts w:hint="eastAsia" w:cs="仿宋_GB2312"/>
          <w:color w:val="auto"/>
          <w:sz w:val="24"/>
          <w:highlight w:val="none"/>
        </w:rPr>
        <w:t>。</w:t>
      </w:r>
    </w:p>
    <w:p w14:paraId="75DB8633">
      <w:pPr>
        <w:tabs>
          <w:tab w:val="left" w:pos="180"/>
          <w:tab w:val="left" w:pos="900"/>
        </w:tabs>
        <w:spacing w:line="360" w:lineRule="exact"/>
        <w:ind w:firstLine="480" w:firstLineChars="200"/>
        <w:rPr>
          <w:rFonts w:cs="仿宋_GB2312"/>
          <w:color w:val="auto"/>
          <w:sz w:val="24"/>
          <w:highlight w:val="none"/>
        </w:rPr>
      </w:pPr>
      <w:r>
        <w:rPr>
          <w:rFonts w:hint="eastAsia" w:cs="仿宋_GB2312"/>
          <w:color w:val="auto"/>
          <w:sz w:val="24"/>
          <w:highlight w:val="none"/>
        </w:rPr>
        <w:t>2.本次报价包括了完成本合同所需的所有费用，包括但不限于货物、运输费、保险费、加工费、包装费、人工费、税费、装卸费、管理费、利润、风险费、</w:t>
      </w:r>
      <w:r>
        <w:rPr>
          <w:rFonts w:hint="eastAsia" w:cs="仿宋_GB2312"/>
          <w:color w:val="auto"/>
          <w:sz w:val="24"/>
          <w:highlight w:val="none"/>
          <w:lang w:bidi="ar"/>
        </w:rPr>
        <w:t>安装费、运行调试费、食宿费、售后服务费等。</w:t>
      </w:r>
      <w:r>
        <w:rPr>
          <w:rFonts w:hint="eastAsia" w:cs="仿宋_GB2312"/>
          <w:color w:val="auto"/>
          <w:sz w:val="24"/>
          <w:highlight w:val="none"/>
        </w:rPr>
        <w:t>投标人应充分考虑项目成本，合理报价，招标人不再另行追加费用。</w:t>
      </w:r>
    </w:p>
    <w:p w14:paraId="01B846BF">
      <w:pPr>
        <w:tabs>
          <w:tab w:val="left" w:pos="180"/>
          <w:tab w:val="left" w:pos="900"/>
        </w:tabs>
        <w:spacing w:line="400" w:lineRule="exact"/>
        <w:jc w:val="right"/>
        <w:rPr>
          <w:rFonts w:cs="仿宋_GB2312"/>
          <w:color w:val="auto"/>
          <w:sz w:val="24"/>
          <w:highlight w:val="none"/>
        </w:rPr>
      </w:pPr>
    </w:p>
    <w:p w14:paraId="157EB660">
      <w:pPr>
        <w:pStyle w:val="12"/>
        <w:snapToGrid w:val="0"/>
        <w:spacing w:line="360" w:lineRule="auto"/>
        <w:rPr>
          <w:rFonts w:ascii="Times New Roman" w:hAnsi="Times New Roman" w:eastAsia="仿宋_GB2312" w:cs="仿宋_GB2312"/>
          <w:snapToGrid w:val="0"/>
          <w:color w:val="auto"/>
          <w:sz w:val="24"/>
          <w:szCs w:val="24"/>
          <w:highlight w:val="none"/>
        </w:rPr>
      </w:pPr>
      <w:r>
        <w:rPr>
          <w:rFonts w:hint="eastAsia" w:ascii="Times New Roman" w:hAnsi="Times New Roman" w:eastAsia="仿宋_GB2312" w:cs="仿宋_GB2312"/>
          <w:snapToGrid w:val="0"/>
          <w:color w:val="auto"/>
          <w:sz w:val="24"/>
          <w:szCs w:val="24"/>
          <w:highlight w:val="none"/>
        </w:rPr>
        <w:t>投标人（盖公章）：</w:t>
      </w:r>
    </w:p>
    <w:p w14:paraId="39274211">
      <w:pPr>
        <w:pStyle w:val="12"/>
        <w:snapToGrid w:val="0"/>
        <w:spacing w:line="360" w:lineRule="auto"/>
        <w:rPr>
          <w:rFonts w:ascii="Times New Roman" w:hAnsi="Times New Roman" w:eastAsia="仿宋_GB2312" w:cs="仿宋_GB2312"/>
          <w:snapToGrid w:val="0"/>
          <w:color w:val="auto"/>
          <w:sz w:val="24"/>
          <w:szCs w:val="24"/>
          <w:highlight w:val="none"/>
        </w:rPr>
      </w:pPr>
      <w:r>
        <w:rPr>
          <w:rFonts w:hint="eastAsia" w:ascii="Times New Roman" w:hAnsi="Times New Roman" w:eastAsia="仿宋_GB2312" w:cs="仿宋_GB2312"/>
          <w:snapToGrid w:val="0"/>
          <w:color w:val="auto"/>
          <w:sz w:val="24"/>
          <w:szCs w:val="24"/>
          <w:highlight w:val="none"/>
        </w:rPr>
        <w:t xml:space="preserve">法定代表人（负责人）或其委托代理人（签字或盖章）：          </w:t>
      </w:r>
    </w:p>
    <w:p w14:paraId="321E51B4">
      <w:pPr>
        <w:pStyle w:val="12"/>
        <w:snapToGrid w:val="0"/>
        <w:spacing w:line="360" w:lineRule="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snapToGrid w:val="0"/>
          <w:color w:val="auto"/>
          <w:sz w:val="24"/>
          <w:szCs w:val="24"/>
          <w:highlight w:val="none"/>
        </w:rPr>
        <w:t>日期：</w:t>
      </w:r>
      <w:r>
        <w:rPr>
          <w:rFonts w:hint="eastAsia" w:ascii="Times New Roman" w:hAnsi="Times New Roman" w:eastAsia="仿宋_GB2312" w:cs="仿宋_GB2312"/>
          <w:color w:val="auto"/>
          <w:sz w:val="24"/>
          <w:szCs w:val="24"/>
          <w:highlight w:val="none"/>
        </w:rPr>
        <w:t xml:space="preserve">      年    月    日</w:t>
      </w:r>
      <w:bookmarkStart w:id="134" w:name="_Toc30796"/>
    </w:p>
    <w:p w14:paraId="503143D3">
      <w:pPr>
        <w:pStyle w:val="12"/>
        <w:snapToGrid w:val="0"/>
        <w:spacing w:line="360" w:lineRule="auto"/>
        <w:jc w:val="center"/>
        <w:rPr>
          <w:rFonts w:ascii="Times New Roman" w:hAnsi="Times New Roman" w:eastAsia="仿宋_GB2312" w:cs="仿宋_GB2312"/>
          <w:color w:val="auto"/>
          <w:sz w:val="24"/>
          <w:szCs w:val="24"/>
          <w:highlight w:val="none"/>
        </w:rPr>
      </w:pPr>
    </w:p>
    <w:p w14:paraId="0D03E2E7">
      <w:pPr>
        <w:pStyle w:val="12"/>
        <w:snapToGrid w:val="0"/>
        <w:spacing w:line="360" w:lineRule="auto"/>
        <w:rPr>
          <w:rFonts w:ascii="Times New Roman" w:hAnsi="Times New Roman" w:eastAsia="仿宋_GB2312" w:cs="仿宋_GB2312"/>
          <w:color w:val="auto"/>
          <w:sz w:val="24"/>
          <w:szCs w:val="24"/>
          <w:highlight w:val="none"/>
        </w:rPr>
      </w:pPr>
    </w:p>
    <w:p w14:paraId="692464F3">
      <w:pPr>
        <w:pStyle w:val="12"/>
        <w:snapToGrid w:val="0"/>
        <w:spacing w:line="360" w:lineRule="auto"/>
        <w:rPr>
          <w:rFonts w:ascii="Times New Roman" w:hAnsi="Times New Roman" w:eastAsia="仿宋_GB2312" w:cs="仿宋_GB2312"/>
          <w:color w:val="auto"/>
          <w:sz w:val="24"/>
          <w:szCs w:val="24"/>
          <w:highlight w:val="none"/>
        </w:rPr>
      </w:pPr>
    </w:p>
    <w:p w14:paraId="34419E7C">
      <w:pPr>
        <w:pStyle w:val="12"/>
        <w:snapToGrid w:val="0"/>
        <w:spacing w:line="360" w:lineRule="auto"/>
        <w:rPr>
          <w:rFonts w:ascii="Times New Roman" w:hAnsi="Times New Roman" w:eastAsia="仿宋_GB2312" w:cs="仿宋_GB2312"/>
          <w:color w:val="auto"/>
          <w:sz w:val="24"/>
          <w:szCs w:val="24"/>
          <w:highlight w:val="none"/>
        </w:rPr>
      </w:pPr>
    </w:p>
    <w:p w14:paraId="5469DD94">
      <w:pPr>
        <w:pStyle w:val="12"/>
        <w:snapToGrid w:val="0"/>
        <w:spacing w:line="360" w:lineRule="auto"/>
        <w:rPr>
          <w:rFonts w:ascii="Times New Roman" w:hAnsi="Times New Roman" w:eastAsia="仿宋_GB2312" w:cs="仿宋_GB2312"/>
          <w:color w:val="auto"/>
          <w:sz w:val="24"/>
          <w:szCs w:val="24"/>
          <w:highlight w:val="none"/>
        </w:rPr>
      </w:pPr>
    </w:p>
    <w:p w14:paraId="7C664B22">
      <w:pPr>
        <w:pStyle w:val="12"/>
        <w:snapToGrid w:val="0"/>
        <w:spacing w:line="360" w:lineRule="auto"/>
        <w:rPr>
          <w:rFonts w:ascii="Times New Roman" w:hAnsi="Times New Roman" w:eastAsia="仿宋_GB2312" w:cs="仿宋_GB2312"/>
          <w:color w:val="auto"/>
          <w:sz w:val="24"/>
          <w:szCs w:val="24"/>
          <w:highlight w:val="none"/>
        </w:rPr>
      </w:pPr>
    </w:p>
    <w:p w14:paraId="7B5D456B">
      <w:pPr>
        <w:pStyle w:val="5"/>
        <w:numPr>
          <w:ilvl w:val="255"/>
          <w:numId w:val="0"/>
        </w:numPr>
        <w:jc w:val="center"/>
        <w:rPr>
          <w:rFonts w:ascii="Times New Roman" w:hAnsi="Times New Roman" w:eastAsia="仿宋_GB2312" w:cs="仿宋_GB2312"/>
          <w:bCs w:val="0"/>
          <w:color w:val="auto"/>
          <w:sz w:val="24"/>
          <w:szCs w:val="24"/>
          <w:highlight w:val="none"/>
        </w:rPr>
      </w:pPr>
      <w:bookmarkStart w:id="135" w:name="_Toc83886045"/>
      <w:bookmarkStart w:id="136" w:name="_Toc27321"/>
      <w:r>
        <w:rPr>
          <w:rFonts w:hint="eastAsia" w:ascii="Times New Roman" w:hAnsi="Times New Roman" w:eastAsia="仿宋_GB2312" w:cs="仿宋_GB2312"/>
          <w:b w:val="0"/>
          <w:bCs w:val="0"/>
          <w:color w:val="auto"/>
          <w:sz w:val="24"/>
          <w:szCs w:val="24"/>
          <w:highlight w:val="none"/>
        </w:rPr>
        <w:t>三、</w:t>
      </w:r>
      <w:r>
        <w:rPr>
          <w:rFonts w:hint="eastAsia" w:ascii="Times New Roman" w:hAnsi="Times New Roman" w:eastAsia="仿宋_GB2312" w:cs="仿宋_GB2312"/>
          <w:bCs w:val="0"/>
          <w:color w:val="auto"/>
          <w:sz w:val="24"/>
          <w:szCs w:val="24"/>
          <w:highlight w:val="none"/>
        </w:rPr>
        <w:t>法定代表人身份证明或</w:t>
      </w:r>
    </w:p>
    <w:p w14:paraId="443D13A1">
      <w:pPr>
        <w:pStyle w:val="5"/>
        <w:numPr>
          <w:ilvl w:val="255"/>
          <w:numId w:val="0"/>
        </w:numPr>
        <w:jc w:val="center"/>
        <w:rPr>
          <w:rFonts w:ascii="Times New Roman" w:hAnsi="Times New Roman" w:eastAsia="仿宋_GB2312" w:cs="仿宋_GB2312"/>
          <w:bCs w:val="0"/>
          <w:color w:val="auto"/>
          <w:sz w:val="24"/>
          <w:szCs w:val="24"/>
          <w:highlight w:val="none"/>
        </w:rPr>
      </w:pPr>
      <w:r>
        <w:rPr>
          <w:rFonts w:hint="eastAsia" w:ascii="Times New Roman" w:hAnsi="Times New Roman" w:eastAsia="仿宋_GB2312" w:cs="仿宋_GB2312"/>
          <w:bCs w:val="0"/>
          <w:color w:val="auto"/>
          <w:sz w:val="24"/>
          <w:szCs w:val="24"/>
          <w:highlight w:val="none"/>
        </w:rPr>
        <w:t>附有法定代表人和委托代理人身份证明的授权委托书</w:t>
      </w:r>
    </w:p>
    <w:p w14:paraId="7626E7C5">
      <w:pPr>
        <w:snapToGrid w:val="0"/>
        <w:spacing w:line="360" w:lineRule="auto"/>
        <w:jc w:val="center"/>
        <w:rPr>
          <w:rFonts w:cs="仿宋_GB2312"/>
          <w:b/>
          <w:bCs/>
          <w:color w:val="auto"/>
          <w:sz w:val="24"/>
          <w:highlight w:val="none"/>
        </w:rPr>
      </w:pPr>
    </w:p>
    <w:p w14:paraId="4D965A11">
      <w:pPr>
        <w:snapToGrid w:val="0"/>
        <w:spacing w:line="360" w:lineRule="auto"/>
        <w:jc w:val="center"/>
        <w:rPr>
          <w:rFonts w:cs="仿宋_GB2312"/>
          <w:color w:val="auto"/>
          <w:sz w:val="24"/>
          <w:highlight w:val="none"/>
        </w:rPr>
      </w:pPr>
      <w:r>
        <w:rPr>
          <w:rFonts w:hint="eastAsia" w:cs="仿宋_GB2312"/>
          <w:b/>
          <w:bCs/>
          <w:color w:val="auto"/>
          <w:sz w:val="24"/>
          <w:highlight w:val="none"/>
        </w:rPr>
        <w:t>法定代表人身份证明</w:t>
      </w:r>
    </w:p>
    <w:p w14:paraId="1C0A0E6D">
      <w:pPr>
        <w:snapToGrid w:val="0"/>
        <w:spacing w:line="360" w:lineRule="auto"/>
        <w:rPr>
          <w:rFonts w:cs="仿宋_GB2312"/>
          <w:color w:val="auto"/>
          <w:sz w:val="24"/>
          <w:highlight w:val="none"/>
          <w:u w:val="single"/>
        </w:rPr>
      </w:pPr>
      <w:r>
        <w:rPr>
          <w:rFonts w:hint="eastAsia" w:cs="仿宋_GB2312"/>
          <w:color w:val="auto"/>
          <w:sz w:val="24"/>
          <w:highlight w:val="none"/>
        </w:rPr>
        <w:t>投标人名称：</w:t>
      </w:r>
      <w:r>
        <w:rPr>
          <w:rFonts w:hint="eastAsia" w:cs="仿宋_GB2312"/>
          <w:color w:val="auto"/>
          <w:sz w:val="24"/>
          <w:highlight w:val="none"/>
          <w:u w:val="single"/>
        </w:rPr>
        <w:t xml:space="preserve">                                      </w:t>
      </w:r>
    </w:p>
    <w:p w14:paraId="48D833AE">
      <w:pPr>
        <w:snapToGrid w:val="0"/>
        <w:spacing w:line="360" w:lineRule="auto"/>
        <w:rPr>
          <w:rFonts w:cs="仿宋_GB2312"/>
          <w:color w:val="auto"/>
          <w:sz w:val="24"/>
          <w:highlight w:val="none"/>
          <w:u w:val="single"/>
        </w:rPr>
      </w:pPr>
      <w:r>
        <w:rPr>
          <w:rFonts w:hint="eastAsia" w:cs="仿宋_GB2312"/>
          <w:color w:val="auto"/>
          <w:sz w:val="24"/>
          <w:highlight w:val="none"/>
        </w:rPr>
        <w:t>单位性质：</w:t>
      </w:r>
      <w:r>
        <w:rPr>
          <w:rFonts w:hint="eastAsia" w:cs="仿宋_GB2312"/>
          <w:color w:val="auto"/>
          <w:sz w:val="24"/>
          <w:highlight w:val="none"/>
          <w:u w:val="single"/>
        </w:rPr>
        <w:t xml:space="preserve">                                        </w:t>
      </w:r>
    </w:p>
    <w:p w14:paraId="29436A03">
      <w:pPr>
        <w:snapToGrid w:val="0"/>
        <w:spacing w:line="360" w:lineRule="auto"/>
        <w:rPr>
          <w:rFonts w:cs="仿宋_GB2312"/>
          <w:color w:val="auto"/>
          <w:sz w:val="24"/>
          <w:highlight w:val="none"/>
          <w:u w:val="single"/>
        </w:rPr>
      </w:pPr>
      <w:r>
        <w:rPr>
          <w:rFonts w:hint="eastAsia" w:cs="仿宋_GB2312"/>
          <w:color w:val="auto"/>
          <w:sz w:val="24"/>
          <w:highlight w:val="none"/>
        </w:rPr>
        <w:t>地址：</w:t>
      </w:r>
      <w:r>
        <w:rPr>
          <w:rFonts w:hint="eastAsia" w:cs="仿宋_GB2312"/>
          <w:color w:val="auto"/>
          <w:sz w:val="24"/>
          <w:highlight w:val="none"/>
          <w:u w:val="single"/>
        </w:rPr>
        <w:t xml:space="preserve">                                            </w:t>
      </w:r>
    </w:p>
    <w:p w14:paraId="1A46B9BA">
      <w:pPr>
        <w:snapToGrid w:val="0"/>
        <w:spacing w:line="360" w:lineRule="auto"/>
        <w:rPr>
          <w:rFonts w:cs="仿宋_GB2312"/>
          <w:color w:val="auto"/>
          <w:sz w:val="24"/>
          <w:highlight w:val="none"/>
          <w:u w:val="single"/>
        </w:rPr>
      </w:pPr>
      <w:r>
        <w:rPr>
          <w:rFonts w:hint="eastAsia" w:cs="仿宋_GB2312"/>
          <w:color w:val="auto"/>
          <w:sz w:val="24"/>
          <w:highlight w:val="none"/>
        </w:rPr>
        <w:t>成立时间：</w:t>
      </w:r>
      <w:r>
        <w:rPr>
          <w:rFonts w:hint="eastAsia" w:cs="仿宋_GB2312"/>
          <w:color w:val="auto"/>
          <w:sz w:val="24"/>
          <w:highlight w:val="none"/>
          <w:u w:val="single"/>
        </w:rPr>
        <w:t xml:space="preserve">      </w:t>
      </w:r>
      <w:r>
        <w:rPr>
          <w:rFonts w:hint="eastAsia" w:cs="仿宋_GB2312"/>
          <w:color w:val="auto"/>
          <w:sz w:val="24"/>
          <w:highlight w:val="none"/>
        </w:rPr>
        <w:t>年</w:t>
      </w:r>
      <w:r>
        <w:rPr>
          <w:rFonts w:hint="eastAsia" w:cs="仿宋_GB2312"/>
          <w:color w:val="auto"/>
          <w:sz w:val="24"/>
          <w:highlight w:val="none"/>
          <w:u w:val="single"/>
        </w:rPr>
        <w:t xml:space="preserve">    </w:t>
      </w:r>
      <w:r>
        <w:rPr>
          <w:rFonts w:hint="eastAsia" w:cs="仿宋_GB2312"/>
          <w:color w:val="auto"/>
          <w:sz w:val="24"/>
          <w:highlight w:val="none"/>
        </w:rPr>
        <w:t>月</w:t>
      </w:r>
      <w:r>
        <w:rPr>
          <w:rFonts w:hint="eastAsia" w:cs="仿宋_GB2312"/>
          <w:color w:val="auto"/>
          <w:sz w:val="24"/>
          <w:highlight w:val="none"/>
          <w:u w:val="single"/>
        </w:rPr>
        <w:t xml:space="preserve">    </w:t>
      </w:r>
      <w:r>
        <w:rPr>
          <w:rFonts w:hint="eastAsia" w:cs="仿宋_GB2312"/>
          <w:color w:val="auto"/>
          <w:sz w:val="24"/>
          <w:highlight w:val="none"/>
        </w:rPr>
        <w:t>日</w:t>
      </w:r>
    </w:p>
    <w:p w14:paraId="264FD6BC">
      <w:pPr>
        <w:snapToGrid w:val="0"/>
        <w:spacing w:line="360" w:lineRule="auto"/>
        <w:rPr>
          <w:rFonts w:cs="仿宋_GB2312"/>
          <w:color w:val="auto"/>
          <w:sz w:val="24"/>
          <w:highlight w:val="none"/>
          <w:u w:val="single"/>
        </w:rPr>
      </w:pPr>
      <w:r>
        <w:rPr>
          <w:rFonts w:hint="eastAsia" w:cs="仿宋_GB2312"/>
          <w:color w:val="auto"/>
          <w:sz w:val="24"/>
          <w:highlight w:val="none"/>
        </w:rPr>
        <w:t>经营期限：</w:t>
      </w:r>
      <w:r>
        <w:rPr>
          <w:rFonts w:hint="eastAsia" w:cs="仿宋_GB2312"/>
          <w:color w:val="auto"/>
          <w:sz w:val="24"/>
          <w:highlight w:val="none"/>
          <w:u w:val="single"/>
        </w:rPr>
        <w:t xml:space="preserve">   </w:t>
      </w:r>
    </w:p>
    <w:p w14:paraId="5FEDACAF">
      <w:pPr>
        <w:snapToGrid w:val="0"/>
        <w:spacing w:line="360" w:lineRule="auto"/>
        <w:rPr>
          <w:rFonts w:cs="仿宋_GB2312"/>
          <w:color w:val="auto"/>
          <w:sz w:val="24"/>
          <w:highlight w:val="none"/>
          <w:u w:val="single"/>
        </w:rPr>
      </w:pPr>
      <w:r>
        <w:rPr>
          <w:rFonts w:hint="eastAsia" w:cs="仿宋_GB2312"/>
          <w:color w:val="auto"/>
          <w:sz w:val="24"/>
          <w:highlight w:val="none"/>
        </w:rPr>
        <w:t>姓名：</w:t>
      </w:r>
      <w:r>
        <w:rPr>
          <w:rFonts w:hint="eastAsia" w:cs="仿宋_GB2312"/>
          <w:color w:val="auto"/>
          <w:sz w:val="24"/>
          <w:highlight w:val="none"/>
          <w:u w:val="single"/>
        </w:rPr>
        <w:t xml:space="preserve">           </w:t>
      </w:r>
      <w:r>
        <w:rPr>
          <w:rFonts w:hint="eastAsia" w:cs="仿宋_GB2312"/>
          <w:color w:val="auto"/>
          <w:sz w:val="24"/>
          <w:highlight w:val="none"/>
        </w:rPr>
        <w:t>性别：</w:t>
      </w:r>
      <w:r>
        <w:rPr>
          <w:rFonts w:hint="eastAsia" w:cs="仿宋_GB2312"/>
          <w:color w:val="auto"/>
          <w:sz w:val="24"/>
          <w:highlight w:val="none"/>
          <w:u w:val="single"/>
        </w:rPr>
        <w:t xml:space="preserve">          </w:t>
      </w:r>
      <w:r>
        <w:rPr>
          <w:rFonts w:hint="eastAsia" w:cs="仿宋_GB2312"/>
          <w:color w:val="auto"/>
          <w:sz w:val="24"/>
          <w:highlight w:val="none"/>
        </w:rPr>
        <w:t>年龄：</w:t>
      </w:r>
      <w:r>
        <w:rPr>
          <w:rFonts w:hint="eastAsia" w:cs="仿宋_GB2312"/>
          <w:color w:val="auto"/>
          <w:sz w:val="24"/>
          <w:highlight w:val="none"/>
          <w:u w:val="single"/>
        </w:rPr>
        <w:t xml:space="preserve">             </w:t>
      </w:r>
      <w:r>
        <w:rPr>
          <w:rFonts w:hint="eastAsia" w:cs="仿宋_GB2312"/>
          <w:color w:val="auto"/>
          <w:sz w:val="24"/>
          <w:highlight w:val="none"/>
        </w:rPr>
        <w:t>职务：</w:t>
      </w:r>
      <w:r>
        <w:rPr>
          <w:rFonts w:hint="eastAsia" w:cs="仿宋_GB2312"/>
          <w:color w:val="auto"/>
          <w:sz w:val="24"/>
          <w:highlight w:val="none"/>
          <w:u w:val="single"/>
        </w:rPr>
        <w:t xml:space="preserve">              </w:t>
      </w:r>
    </w:p>
    <w:p w14:paraId="3C068CDE">
      <w:pPr>
        <w:snapToGrid w:val="0"/>
        <w:spacing w:line="360" w:lineRule="auto"/>
        <w:rPr>
          <w:rFonts w:cs="仿宋_GB2312"/>
          <w:color w:val="auto"/>
          <w:sz w:val="24"/>
          <w:highlight w:val="none"/>
        </w:rPr>
      </w:pPr>
      <w:r>
        <w:rPr>
          <w:rFonts w:hint="eastAsia" w:cs="仿宋_GB2312"/>
          <w:color w:val="auto"/>
          <w:sz w:val="24"/>
          <w:highlight w:val="none"/>
        </w:rPr>
        <w:t>身份证号码：</w:t>
      </w:r>
      <w:r>
        <w:rPr>
          <w:rFonts w:hint="eastAsia" w:cs="仿宋_GB2312"/>
          <w:color w:val="auto"/>
          <w:sz w:val="24"/>
          <w:highlight w:val="none"/>
          <w:u w:val="single"/>
        </w:rPr>
        <w:t xml:space="preserve">                                </w:t>
      </w:r>
      <w:r>
        <w:rPr>
          <w:rFonts w:hint="eastAsia" w:cs="仿宋_GB2312"/>
          <w:color w:val="auto"/>
          <w:sz w:val="24"/>
          <w:highlight w:val="none"/>
        </w:rPr>
        <w:t xml:space="preserve"> 固定联系电话：</w:t>
      </w:r>
      <w:r>
        <w:rPr>
          <w:rFonts w:hint="eastAsia" w:cs="仿宋_GB2312"/>
          <w:color w:val="auto"/>
          <w:sz w:val="24"/>
          <w:highlight w:val="none"/>
          <w:u w:val="single"/>
        </w:rPr>
        <w:t xml:space="preserve">           </w:t>
      </w:r>
      <w:r>
        <w:rPr>
          <w:rFonts w:hint="eastAsia" w:cs="仿宋_GB2312"/>
          <w:color w:val="auto"/>
          <w:sz w:val="24"/>
          <w:highlight w:val="none"/>
        </w:rPr>
        <w:t>，手机联系电话：</w:t>
      </w:r>
      <w:r>
        <w:rPr>
          <w:rFonts w:hint="eastAsia" w:cs="仿宋_GB2312"/>
          <w:color w:val="auto"/>
          <w:sz w:val="24"/>
          <w:highlight w:val="none"/>
          <w:u w:val="single"/>
        </w:rPr>
        <w:t xml:space="preserve">                     </w:t>
      </w:r>
      <w:r>
        <w:rPr>
          <w:rFonts w:hint="eastAsia" w:cs="仿宋_GB2312"/>
          <w:color w:val="auto"/>
          <w:sz w:val="24"/>
          <w:highlight w:val="none"/>
        </w:rPr>
        <w:t xml:space="preserve">，电子邮箱： </w:t>
      </w:r>
      <w:r>
        <w:rPr>
          <w:rFonts w:hint="eastAsia" w:cs="仿宋_GB2312"/>
          <w:color w:val="auto"/>
          <w:sz w:val="24"/>
          <w:highlight w:val="none"/>
          <w:u w:val="single"/>
        </w:rPr>
        <w:t xml:space="preserve">          </w:t>
      </w:r>
      <w:r>
        <w:rPr>
          <w:rFonts w:hint="eastAsia" w:cs="仿宋_GB2312"/>
          <w:color w:val="auto"/>
          <w:sz w:val="24"/>
          <w:highlight w:val="none"/>
        </w:rPr>
        <w:t xml:space="preserve">  ，系</w:t>
      </w:r>
      <w:r>
        <w:rPr>
          <w:rFonts w:hint="eastAsia" w:cs="仿宋_GB2312"/>
          <w:color w:val="auto"/>
          <w:sz w:val="24"/>
          <w:highlight w:val="none"/>
          <w:u w:val="single"/>
        </w:rPr>
        <w:t xml:space="preserve">     （投标人名称）</w:t>
      </w:r>
      <w:r>
        <w:rPr>
          <w:rFonts w:hint="eastAsia" w:cs="仿宋_GB2312"/>
          <w:color w:val="auto"/>
          <w:sz w:val="24"/>
          <w:highlight w:val="none"/>
        </w:rPr>
        <w:t>的法定代表人。</w:t>
      </w:r>
    </w:p>
    <w:p w14:paraId="6256EB93">
      <w:pPr>
        <w:snapToGrid w:val="0"/>
        <w:spacing w:line="360" w:lineRule="auto"/>
        <w:ind w:firstLine="560"/>
        <w:rPr>
          <w:rFonts w:cs="仿宋_GB2312"/>
          <w:color w:val="auto"/>
          <w:sz w:val="24"/>
          <w:highlight w:val="none"/>
        </w:rPr>
      </w:pPr>
    </w:p>
    <w:p w14:paraId="3B9858D2">
      <w:pPr>
        <w:snapToGrid w:val="0"/>
        <w:spacing w:line="360" w:lineRule="auto"/>
        <w:rPr>
          <w:rFonts w:cs="仿宋_GB2312"/>
          <w:color w:val="auto"/>
          <w:sz w:val="24"/>
          <w:highlight w:val="none"/>
        </w:rPr>
      </w:pPr>
      <w:r>
        <w:rPr>
          <w:rFonts w:hint="eastAsia" w:cs="仿宋_GB2312"/>
          <w:color w:val="auto"/>
          <w:sz w:val="24"/>
          <w:highlight w:val="none"/>
        </w:rPr>
        <w:t>特此证明。</w:t>
      </w:r>
    </w:p>
    <w:p w14:paraId="5E9431C6">
      <w:pPr>
        <w:snapToGrid w:val="0"/>
        <w:spacing w:line="360" w:lineRule="auto"/>
        <w:rPr>
          <w:rFonts w:cs="仿宋_GB2312"/>
          <w:color w:val="auto"/>
          <w:sz w:val="24"/>
          <w:highlight w:val="none"/>
        </w:rPr>
      </w:pPr>
      <w:r>
        <w:rPr>
          <w:rFonts w:hint="eastAsia" w:cs="仿宋_GB2312"/>
          <w:color w:val="auto"/>
          <w:sz w:val="24"/>
          <w:highlight w:val="none"/>
        </w:rPr>
        <w:t>附：法定代表人身份证复印件</w:t>
      </w:r>
    </w:p>
    <w:p w14:paraId="76466FB0">
      <w:pPr>
        <w:snapToGrid w:val="0"/>
        <w:spacing w:line="360" w:lineRule="auto"/>
        <w:rPr>
          <w:rFonts w:cs="仿宋_GB2312"/>
          <w:color w:val="auto"/>
          <w:sz w:val="24"/>
          <w:highlight w:val="none"/>
        </w:rPr>
      </w:pPr>
    </w:p>
    <w:p w14:paraId="0737AF52">
      <w:pPr>
        <w:snapToGrid w:val="0"/>
        <w:spacing w:line="360" w:lineRule="auto"/>
        <w:rPr>
          <w:rFonts w:cs="仿宋_GB2312"/>
          <w:color w:val="auto"/>
          <w:sz w:val="24"/>
          <w:highlight w:val="none"/>
        </w:rPr>
      </w:pPr>
      <w:r>
        <w:rPr>
          <w:rFonts w:hint="eastAsia" w:cs="仿宋_GB2312"/>
          <w:color w:val="auto"/>
          <w:sz w:val="24"/>
          <w:highlight w:val="none"/>
        </w:rPr>
        <w:t xml:space="preserve">投标人：（盖单位公章） </w:t>
      </w:r>
    </w:p>
    <w:p w14:paraId="7E4DA458">
      <w:pPr>
        <w:snapToGrid w:val="0"/>
        <w:spacing w:line="360" w:lineRule="auto"/>
        <w:rPr>
          <w:rFonts w:cs="仿宋_GB2312"/>
          <w:color w:val="auto"/>
          <w:sz w:val="24"/>
          <w:highlight w:val="none"/>
        </w:rPr>
      </w:pPr>
      <w:r>
        <w:rPr>
          <w:rFonts w:hint="eastAsia" w:cs="仿宋_GB2312"/>
          <w:color w:val="auto"/>
          <w:sz w:val="24"/>
          <w:highlight w:val="none"/>
        </w:rPr>
        <w:t>日期：      年    月    日</w:t>
      </w:r>
    </w:p>
    <w:tbl>
      <w:tblPr>
        <w:tblStyle w:val="26"/>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CAF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03A6AFB8">
            <w:pPr>
              <w:adjustRightInd w:val="0"/>
              <w:snapToGrid w:val="0"/>
              <w:spacing w:line="360" w:lineRule="auto"/>
              <w:jc w:val="center"/>
              <w:rPr>
                <w:rFonts w:cs="仿宋_GB2312"/>
                <w:color w:val="auto"/>
                <w:sz w:val="24"/>
                <w:highlight w:val="none"/>
              </w:rPr>
            </w:pPr>
            <w:r>
              <w:rPr>
                <w:rFonts w:hint="eastAsia" w:cs="仿宋_GB2312"/>
                <w:color w:val="auto"/>
                <w:sz w:val="24"/>
                <w:highlight w:val="none"/>
              </w:rPr>
              <w:t>法定代表人身份证复印件粘贴处（正、反面）</w:t>
            </w:r>
          </w:p>
        </w:tc>
      </w:tr>
    </w:tbl>
    <w:p w14:paraId="725BE302">
      <w:pPr>
        <w:spacing w:line="440" w:lineRule="exact"/>
        <w:rPr>
          <w:rFonts w:cs="仿宋_GB2312"/>
          <w:b/>
          <w:color w:val="auto"/>
          <w:sz w:val="24"/>
          <w:highlight w:val="none"/>
        </w:rPr>
      </w:pPr>
      <w:r>
        <w:rPr>
          <w:rFonts w:hint="eastAsia" w:cs="仿宋_GB2312"/>
          <w:b/>
          <w:color w:val="auto"/>
          <w:sz w:val="24"/>
          <w:highlight w:val="none"/>
        </w:rPr>
        <w:t>注：法定代表人参加开标的，须携带本人身份证或驾驶证或公安机关出具的临时身份证明或港澳台胞证或护照原件（其他诸如市民卡等无效）和法定代表人身份证明原件。</w:t>
      </w:r>
    </w:p>
    <w:p w14:paraId="4A20BCE3">
      <w:pPr>
        <w:spacing w:after="120" w:afterLines="50" w:line="440" w:lineRule="exact"/>
        <w:jc w:val="center"/>
        <w:rPr>
          <w:rFonts w:cs="仿宋_GB2312"/>
          <w:b/>
          <w:bCs/>
          <w:color w:val="auto"/>
          <w:sz w:val="24"/>
          <w:highlight w:val="none"/>
        </w:rPr>
      </w:pPr>
      <w:r>
        <w:rPr>
          <w:rFonts w:hint="eastAsia" w:cs="仿宋_GB2312"/>
          <w:color w:val="auto"/>
          <w:sz w:val="24"/>
          <w:highlight w:val="none"/>
        </w:rPr>
        <w:br w:type="page"/>
      </w:r>
      <w:r>
        <w:rPr>
          <w:rFonts w:hint="eastAsia" w:cs="仿宋_GB2312"/>
          <w:b/>
          <w:bCs/>
          <w:color w:val="auto"/>
          <w:sz w:val="24"/>
          <w:highlight w:val="none"/>
        </w:rPr>
        <w:t>授权委托书</w:t>
      </w:r>
    </w:p>
    <w:p w14:paraId="64FB1F5D">
      <w:pPr>
        <w:spacing w:line="440" w:lineRule="exact"/>
        <w:ind w:firstLine="480" w:firstLineChars="200"/>
        <w:rPr>
          <w:rFonts w:cs="仿宋_GB2312"/>
          <w:color w:val="auto"/>
          <w:sz w:val="24"/>
          <w:highlight w:val="none"/>
        </w:rPr>
      </w:pPr>
    </w:p>
    <w:p w14:paraId="10EF16E4">
      <w:pPr>
        <w:spacing w:line="440" w:lineRule="exact"/>
        <w:ind w:firstLine="480" w:firstLineChars="200"/>
        <w:rPr>
          <w:rFonts w:cs="仿宋_GB2312"/>
          <w:color w:val="auto"/>
          <w:sz w:val="24"/>
          <w:highlight w:val="none"/>
        </w:rPr>
      </w:pPr>
      <w:r>
        <w:rPr>
          <w:rFonts w:hint="eastAsia" w:cs="仿宋_GB2312"/>
          <w:color w:val="auto"/>
          <w:sz w:val="24"/>
          <w:highlight w:val="none"/>
        </w:rPr>
        <w:t>本人</w:t>
      </w:r>
      <w:r>
        <w:rPr>
          <w:rFonts w:hint="eastAsia" w:cs="仿宋_GB2312"/>
          <w:color w:val="auto"/>
          <w:sz w:val="24"/>
          <w:highlight w:val="none"/>
          <w:u w:val="single"/>
        </w:rPr>
        <w:t xml:space="preserve">             </w:t>
      </w:r>
      <w:r>
        <w:rPr>
          <w:rFonts w:hint="eastAsia" w:cs="仿宋_GB2312"/>
          <w:color w:val="auto"/>
          <w:sz w:val="24"/>
          <w:highlight w:val="none"/>
        </w:rPr>
        <w:t>（姓名）系</w:t>
      </w:r>
      <w:r>
        <w:rPr>
          <w:rFonts w:hint="eastAsia" w:cs="仿宋_GB2312"/>
          <w:color w:val="auto"/>
          <w:sz w:val="24"/>
          <w:highlight w:val="none"/>
          <w:u w:val="single"/>
        </w:rPr>
        <w:t xml:space="preserve">  （投标人名称） </w:t>
      </w:r>
      <w:r>
        <w:rPr>
          <w:rFonts w:hint="eastAsia" w:cs="仿宋_GB2312"/>
          <w:color w:val="auto"/>
          <w:sz w:val="24"/>
          <w:highlight w:val="none"/>
        </w:rPr>
        <w:t>的法定代表人（负责人），现委托</w:t>
      </w:r>
      <w:r>
        <w:rPr>
          <w:rFonts w:hint="eastAsia" w:cs="仿宋_GB2312"/>
          <w:color w:val="auto"/>
          <w:sz w:val="24"/>
          <w:highlight w:val="none"/>
          <w:u w:val="single"/>
        </w:rPr>
        <w:t xml:space="preserve">               </w:t>
      </w:r>
      <w:r>
        <w:rPr>
          <w:rFonts w:hint="eastAsia" w:cs="仿宋_GB2312"/>
          <w:color w:val="auto"/>
          <w:sz w:val="24"/>
          <w:highlight w:val="none"/>
        </w:rPr>
        <w:t>（姓名）为我方代理人（固定联系电话：</w:t>
      </w:r>
      <w:r>
        <w:rPr>
          <w:rFonts w:hint="eastAsia" w:cs="仿宋_GB2312"/>
          <w:color w:val="auto"/>
          <w:sz w:val="24"/>
          <w:highlight w:val="none"/>
          <w:u w:val="single"/>
        </w:rPr>
        <w:t xml:space="preserve">           </w:t>
      </w:r>
      <w:r>
        <w:rPr>
          <w:rFonts w:hint="eastAsia" w:cs="仿宋_GB2312"/>
          <w:color w:val="auto"/>
          <w:sz w:val="24"/>
          <w:highlight w:val="none"/>
        </w:rPr>
        <w:t>，手机联系电话：</w:t>
      </w:r>
      <w:r>
        <w:rPr>
          <w:rFonts w:hint="eastAsia" w:cs="仿宋_GB2312"/>
          <w:color w:val="auto"/>
          <w:sz w:val="24"/>
          <w:highlight w:val="none"/>
          <w:u w:val="single"/>
        </w:rPr>
        <w:t xml:space="preserve">                     </w:t>
      </w:r>
      <w:r>
        <w:rPr>
          <w:rFonts w:hint="eastAsia" w:cs="仿宋_GB2312"/>
          <w:color w:val="auto"/>
          <w:sz w:val="24"/>
          <w:highlight w:val="none"/>
        </w:rPr>
        <w:t xml:space="preserve">，电子邮箱： </w:t>
      </w:r>
      <w:r>
        <w:rPr>
          <w:rFonts w:hint="eastAsia" w:cs="仿宋_GB2312"/>
          <w:color w:val="auto"/>
          <w:sz w:val="24"/>
          <w:highlight w:val="none"/>
          <w:u w:val="single"/>
        </w:rPr>
        <w:t xml:space="preserve">           </w:t>
      </w:r>
      <w:r>
        <w:rPr>
          <w:rFonts w:hint="eastAsia" w:cs="仿宋_GB2312"/>
          <w:color w:val="auto"/>
          <w:sz w:val="24"/>
          <w:highlight w:val="none"/>
        </w:rPr>
        <w:t xml:space="preserve">  ）。代理人根据授权，以我方名义签署、澄清、说明、补正、递交、撤回、修改</w:t>
      </w:r>
      <w:r>
        <w:rPr>
          <w:rFonts w:hint="eastAsia" w:cs="仿宋_GB2312"/>
          <w:color w:val="auto"/>
          <w:sz w:val="24"/>
          <w:highlight w:val="none"/>
          <w:u w:val="single"/>
        </w:rPr>
        <w:t>2025年—2028年垃圾吊改造项目  （招标编号：</w:t>
      </w:r>
      <w:r>
        <w:rPr>
          <w:rFonts w:hint="eastAsia" w:cs="仿宋_GB2312"/>
          <w:color w:val="auto"/>
          <w:sz w:val="24"/>
          <w:highlight w:val="none"/>
          <w:u w:val="single"/>
          <w:lang w:eastAsia="zh-CN"/>
        </w:rPr>
        <w:t>NY-1FZB2505026</w:t>
      </w:r>
      <w:r>
        <w:rPr>
          <w:rFonts w:hint="eastAsia" w:cs="仿宋_GB2312"/>
          <w:color w:val="auto"/>
          <w:sz w:val="24"/>
          <w:highlight w:val="none"/>
          <w:u w:val="single"/>
        </w:rPr>
        <w:t xml:space="preserve"> ）  </w:t>
      </w:r>
      <w:r>
        <w:rPr>
          <w:rFonts w:hint="eastAsia" w:cs="仿宋_GB2312"/>
          <w:color w:val="auto"/>
          <w:sz w:val="24"/>
          <w:highlight w:val="none"/>
        </w:rPr>
        <w:t>投标文件、签订合同和处理有关事宜，其法律后果由我方承担。</w:t>
      </w:r>
    </w:p>
    <w:p w14:paraId="3F4DF614">
      <w:pPr>
        <w:spacing w:line="440" w:lineRule="exact"/>
        <w:ind w:firstLine="480" w:firstLineChars="200"/>
        <w:rPr>
          <w:rFonts w:cs="仿宋_GB2312"/>
          <w:color w:val="auto"/>
          <w:sz w:val="24"/>
          <w:highlight w:val="none"/>
        </w:rPr>
      </w:pPr>
      <w:r>
        <w:rPr>
          <w:rFonts w:hint="eastAsia" w:cs="仿宋_GB2312"/>
          <w:color w:val="auto"/>
          <w:sz w:val="24"/>
          <w:highlight w:val="none"/>
        </w:rPr>
        <w:t>代理人无转委托权。</w:t>
      </w:r>
    </w:p>
    <w:p w14:paraId="2CE64185">
      <w:pPr>
        <w:spacing w:line="440" w:lineRule="exact"/>
        <w:ind w:firstLine="480" w:firstLineChars="200"/>
        <w:rPr>
          <w:rFonts w:cs="仿宋_GB2312"/>
          <w:color w:val="auto"/>
          <w:sz w:val="24"/>
          <w:highlight w:val="none"/>
        </w:rPr>
      </w:pPr>
      <w:r>
        <w:rPr>
          <w:rFonts w:hint="eastAsia" w:cs="仿宋_GB2312"/>
          <w:color w:val="auto"/>
          <w:sz w:val="24"/>
          <w:highlight w:val="none"/>
        </w:rPr>
        <w:t>附：委托代理人身份证复印件</w:t>
      </w:r>
    </w:p>
    <w:p w14:paraId="186C6682">
      <w:pPr>
        <w:spacing w:line="440" w:lineRule="exact"/>
        <w:rPr>
          <w:rFonts w:cs="仿宋_GB2312"/>
          <w:color w:val="auto"/>
          <w:sz w:val="24"/>
          <w:highlight w:val="none"/>
        </w:rPr>
      </w:pPr>
    </w:p>
    <w:p w14:paraId="11A53EE1">
      <w:pPr>
        <w:spacing w:line="440" w:lineRule="exact"/>
        <w:rPr>
          <w:rFonts w:cs="仿宋_GB2312"/>
          <w:color w:val="auto"/>
          <w:sz w:val="24"/>
          <w:highlight w:val="none"/>
        </w:rPr>
      </w:pPr>
      <w:r>
        <w:rPr>
          <w:rFonts w:hint="eastAsia" w:cs="仿宋_GB2312"/>
          <w:color w:val="auto"/>
          <w:sz w:val="24"/>
          <w:highlight w:val="none"/>
        </w:rPr>
        <w:t>投标人：（盖单位公章）</w:t>
      </w:r>
    </w:p>
    <w:p w14:paraId="0B69F351">
      <w:pPr>
        <w:spacing w:line="440" w:lineRule="exact"/>
        <w:rPr>
          <w:rFonts w:cs="仿宋_GB2312"/>
          <w:color w:val="auto"/>
          <w:sz w:val="24"/>
          <w:highlight w:val="none"/>
        </w:rPr>
      </w:pPr>
      <w:r>
        <w:rPr>
          <w:rFonts w:hint="eastAsia" w:cs="仿宋_GB2312"/>
          <w:color w:val="auto"/>
          <w:sz w:val="24"/>
          <w:highlight w:val="none"/>
        </w:rPr>
        <w:t>法定代表人（负责人）：（签字或盖章）</w:t>
      </w:r>
    </w:p>
    <w:p w14:paraId="7AA81907">
      <w:pPr>
        <w:spacing w:line="440" w:lineRule="exact"/>
        <w:rPr>
          <w:rFonts w:cs="仿宋_GB2312"/>
          <w:color w:val="auto"/>
          <w:sz w:val="24"/>
          <w:highlight w:val="none"/>
        </w:rPr>
      </w:pPr>
      <w:r>
        <w:rPr>
          <w:rFonts w:hint="eastAsia" w:cs="仿宋_GB2312"/>
          <w:color w:val="auto"/>
          <w:sz w:val="24"/>
          <w:highlight w:val="none"/>
        </w:rPr>
        <w:t>身份证号码：</w:t>
      </w:r>
    </w:p>
    <w:p w14:paraId="1DD52100">
      <w:pPr>
        <w:spacing w:line="440" w:lineRule="exact"/>
        <w:rPr>
          <w:rFonts w:cs="仿宋_GB2312"/>
          <w:color w:val="auto"/>
          <w:sz w:val="24"/>
          <w:highlight w:val="none"/>
        </w:rPr>
      </w:pPr>
    </w:p>
    <w:p w14:paraId="145FAF6E">
      <w:pPr>
        <w:spacing w:line="440" w:lineRule="exact"/>
        <w:rPr>
          <w:rFonts w:cs="仿宋_GB2312"/>
          <w:color w:val="auto"/>
          <w:sz w:val="24"/>
          <w:highlight w:val="none"/>
        </w:rPr>
      </w:pPr>
      <w:r>
        <w:rPr>
          <w:rFonts w:hint="eastAsia" w:cs="仿宋_GB2312"/>
          <w:color w:val="auto"/>
          <w:sz w:val="24"/>
          <w:highlight w:val="none"/>
        </w:rPr>
        <w:t>委托的代理人：（签字或盖章）</w:t>
      </w:r>
    </w:p>
    <w:p w14:paraId="35D9CBCE">
      <w:pPr>
        <w:spacing w:line="440" w:lineRule="exact"/>
        <w:rPr>
          <w:rFonts w:cs="仿宋_GB2312"/>
          <w:color w:val="auto"/>
          <w:sz w:val="24"/>
          <w:highlight w:val="none"/>
        </w:rPr>
      </w:pPr>
      <w:r>
        <w:rPr>
          <w:rFonts w:hint="eastAsia" w:cs="仿宋_GB2312"/>
          <w:color w:val="auto"/>
          <w:sz w:val="24"/>
          <w:highlight w:val="none"/>
        </w:rPr>
        <w:t>身份证号码：</w:t>
      </w:r>
    </w:p>
    <w:p w14:paraId="7F6C6431">
      <w:pPr>
        <w:snapToGrid w:val="0"/>
        <w:spacing w:line="360" w:lineRule="auto"/>
        <w:ind w:firstLine="5040" w:firstLineChars="2100"/>
        <w:rPr>
          <w:rFonts w:cs="仿宋_GB2312"/>
          <w:color w:val="auto"/>
          <w:sz w:val="24"/>
          <w:highlight w:val="none"/>
        </w:rPr>
      </w:pPr>
      <w:r>
        <w:rPr>
          <w:rFonts w:hint="eastAsia" w:cs="仿宋_GB2312"/>
          <w:color w:val="auto"/>
          <w:sz w:val="24"/>
          <w:highlight w:val="none"/>
        </w:rPr>
        <w:t>日期：      年    月    日</w:t>
      </w:r>
    </w:p>
    <w:tbl>
      <w:tblPr>
        <w:tblStyle w:val="26"/>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1E8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7C4C9B24">
            <w:pPr>
              <w:adjustRightInd w:val="0"/>
              <w:snapToGrid w:val="0"/>
              <w:spacing w:line="360" w:lineRule="auto"/>
              <w:jc w:val="center"/>
              <w:rPr>
                <w:rFonts w:cs="仿宋_GB2312"/>
                <w:color w:val="auto"/>
                <w:sz w:val="24"/>
                <w:highlight w:val="none"/>
              </w:rPr>
            </w:pPr>
            <w:r>
              <w:rPr>
                <w:rFonts w:hint="eastAsia" w:cs="仿宋_GB2312"/>
                <w:color w:val="auto"/>
                <w:sz w:val="24"/>
                <w:highlight w:val="none"/>
              </w:rPr>
              <w:t>委托代理人身份证复印件粘贴处（正、反面）</w:t>
            </w:r>
          </w:p>
        </w:tc>
      </w:tr>
    </w:tbl>
    <w:p w14:paraId="76E60513">
      <w:pPr>
        <w:spacing w:line="440" w:lineRule="exact"/>
        <w:rPr>
          <w:rFonts w:cs="仿宋_GB2312"/>
          <w:b/>
          <w:color w:val="auto"/>
          <w:sz w:val="24"/>
          <w:highlight w:val="none"/>
        </w:rPr>
      </w:pPr>
      <w:r>
        <w:rPr>
          <w:rFonts w:hint="eastAsia" w:cs="仿宋_GB2312"/>
          <w:b/>
          <w:color w:val="auto"/>
          <w:sz w:val="24"/>
          <w:highlight w:val="none"/>
        </w:rPr>
        <w:t>注：1、如投标文件由委托代理人签字或盖章的，</w:t>
      </w:r>
      <w:r>
        <w:rPr>
          <w:rFonts w:hint="eastAsia" w:cs="仿宋_GB2312"/>
          <w:b/>
          <w:color w:val="auto"/>
          <w:sz w:val="24"/>
          <w:highlight w:val="none"/>
          <w:u w:val="single"/>
        </w:rPr>
        <w:t>投标文件必须附此授权委托书和法定代表人身份证明</w:t>
      </w:r>
      <w:r>
        <w:rPr>
          <w:rFonts w:hint="eastAsia" w:cs="仿宋_GB2312"/>
          <w:b/>
          <w:color w:val="auto"/>
          <w:sz w:val="24"/>
          <w:highlight w:val="none"/>
        </w:rPr>
        <w:t>。</w:t>
      </w:r>
    </w:p>
    <w:p w14:paraId="715D95A6">
      <w:pPr>
        <w:spacing w:line="440" w:lineRule="exact"/>
        <w:rPr>
          <w:rFonts w:cs="仿宋_GB2312"/>
          <w:b/>
          <w:color w:val="auto"/>
          <w:kern w:val="0"/>
          <w:sz w:val="24"/>
          <w:highlight w:val="none"/>
        </w:rPr>
      </w:pPr>
      <w:r>
        <w:rPr>
          <w:rFonts w:hint="eastAsia" w:cs="仿宋_GB2312"/>
          <w:b/>
          <w:color w:val="auto"/>
          <w:sz w:val="24"/>
          <w:highlight w:val="none"/>
        </w:rPr>
        <w:t>2、</w:t>
      </w:r>
      <w:r>
        <w:rPr>
          <w:rFonts w:hint="eastAsia" w:cs="仿宋_GB2312"/>
          <w:b/>
          <w:color w:val="auto"/>
          <w:ker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14:paraId="2E42E2F0">
      <w:pPr>
        <w:snapToGrid w:val="0"/>
        <w:spacing w:line="360" w:lineRule="auto"/>
        <w:jc w:val="center"/>
        <w:outlineLvl w:val="9"/>
        <w:rPr>
          <w:rFonts w:cs="仿宋_GB2312"/>
          <w:b/>
          <w:bCs/>
          <w:color w:val="auto"/>
          <w:sz w:val="24"/>
          <w:highlight w:val="none"/>
        </w:rPr>
      </w:pPr>
      <w:r>
        <w:rPr>
          <w:rFonts w:hint="eastAsia" w:cs="仿宋_GB2312"/>
          <w:b/>
          <w:bCs/>
          <w:color w:val="auto"/>
          <w:sz w:val="24"/>
          <w:highlight w:val="none"/>
        </w:rPr>
        <w:t xml:space="preserve"> </w:t>
      </w:r>
    </w:p>
    <w:p w14:paraId="5708DEBD">
      <w:pPr>
        <w:snapToGrid w:val="0"/>
        <w:spacing w:line="360" w:lineRule="auto"/>
        <w:outlineLvl w:val="9"/>
        <w:rPr>
          <w:rFonts w:cs="仿宋_GB2312"/>
          <w:b/>
          <w:bCs/>
          <w:color w:val="auto"/>
          <w:sz w:val="24"/>
          <w:highlight w:val="none"/>
        </w:rPr>
      </w:pPr>
    </w:p>
    <w:p w14:paraId="0A55D26E">
      <w:pPr>
        <w:snapToGrid w:val="0"/>
        <w:spacing w:line="360" w:lineRule="auto"/>
        <w:jc w:val="center"/>
        <w:outlineLvl w:val="1"/>
        <w:rPr>
          <w:rFonts w:cs="仿宋_GB2312"/>
          <w:b/>
          <w:bCs/>
          <w:color w:val="auto"/>
          <w:sz w:val="24"/>
          <w:highlight w:val="none"/>
        </w:rPr>
      </w:pPr>
    </w:p>
    <w:p w14:paraId="19766A4E">
      <w:pPr>
        <w:snapToGrid w:val="0"/>
        <w:spacing w:line="360" w:lineRule="auto"/>
        <w:jc w:val="center"/>
        <w:outlineLvl w:val="1"/>
        <w:rPr>
          <w:rFonts w:cs="仿宋_GB2312"/>
          <w:b/>
          <w:bCs/>
          <w:color w:val="auto"/>
          <w:sz w:val="24"/>
          <w:highlight w:val="none"/>
        </w:rPr>
      </w:pPr>
      <w:r>
        <w:rPr>
          <w:rFonts w:hint="eastAsia" w:cs="仿宋_GB2312"/>
          <w:b/>
          <w:bCs/>
          <w:color w:val="auto"/>
          <w:sz w:val="24"/>
          <w:highlight w:val="none"/>
        </w:rPr>
        <w:t xml:space="preserve"> </w:t>
      </w:r>
      <w:bookmarkStart w:id="137" w:name="_Toc9961"/>
      <w:r>
        <w:rPr>
          <w:rFonts w:hint="eastAsia" w:cs="仿宋_GB2312"/>
          <w:b/>
          <w:bCs/>
          <w:color w:val="auto"/>
          <w:sz w:val="24"/>
          <w:highlight w:val="none"/>
        </w:rPr>
        <w:t>四、联合体协议书</w:t>
      </w:r>
      <w:r>
        <w:rPr>
          <w:rFonts w:hint="eastAsia" w:cs="仿宋_GB2312"/>
          <w:snapToGrid w:val="0"/>
          <w:color w:val="auto"/>
          <w:kern w:val="0"/>
          <w:sz w:val="24"/>
          <w:highlight w:val="none"/>
          <w:u w:val="single"/>
        </w:rPr>
        <w:t>（本项目不适用）</w:t>
      </w:r>
      <w:bookmarkEnd w:id="137"/>
    </w:p>
    <w:p w14:paraId="6ED8E97B">
      <w:pPr>
        <w:pStyle w:val="9"/>
        <w:snapToGrid w:val="0"/>
        <w:spacing w:after="0" w:line="360" w:lineRule="auto"/>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u w:val="single"/>
        </w:rPr>
        <w:t xml:space="preserve">          （所有成员单位名称）</w:t>
      </w:r>
      <w:r>
        <w:rPr>
          <w:rFonts w:hint="eastAsia" w:eastAsia="仿宋_GB2312" w:cs="仿宋_GB2312"/>
          <w:color w:val="auto"/>
          <w:sz w:val="24"/>
          <w:szCs w:val="24"/>
          <w:highlight w:val="none"/>
        </w:rPr>
        <w:t>自愿组成联合体，共同参加</w:t>
      </w:r>
      <w:r>
        <w:rPr>
          <w:rFonts w:hint="eastAsia" w:eastAsia="仿宋_GB2312" w:cs="仿宋_GB2312"/>
          <w:color w:val="auto"/>
          <w:sz w:val="24"/>
          <w:szCs w:val="24"/>
          <w:highlight w:val="none"/>
          <w:u w:val="single"/>
        </w:rPr>
        <w:t xml:space="preserve">          </w:t>
      </w:r>
      <w:r>
        <w:rPr>
          <w:rFonts w:hint="eastAsia" w:eastAsia="仿宋_GB2312" w:cs="仿宋_GB2312"/>
          <w:color w:val="auto"/>
          <w:spacing w:val="-6"/>
          <w:sz w:val="24"/>
          <w:szCs w:val="24"/>
          <w:highlight w:val="none"/>
          <w:u w:val="single"/>
        </w:rPr>
        <w:t>项目（</w:t>
      </w:r>
      <w:r>
        <w:rPr>
          <w:rFonts w:hint="eastAsia" w:eastAsia="仿宋_GB2312" w:cs="仿宋_GB2312"/>
          <w:color w:val="auto"/>
          <w:sz w:val="24"/>
          <w:szCs w:val="24"/>
          <w:highlight w:val="none"/>
        </w:rPr>
        <w:t>招标编号：</w:t>
      </w:r>
      <w:r>
        <w:rPr>
          <w:rFonts w:hint="eastAsia" w:eastAsia="仿宋_GB2312" w:cs="仿宋_GB2312"/>
          <w:color w:val="auto"/>
          <w:sz w:val="24"/>
          <w:szCs w:val="24"/>
          <w:highlight w:val="none"/>
          <w:u w:val="single"/>
        </w:rPr>
        <w:t xml:space="preserve">                </w:t>
      </w:r>
      <w:r>
        <w:rPr>
          <w:rFonts w:hint="eastAsia" w:eastAsia="仿宋_GB2312" w:cs="仿宋_GB2312"/>
          <w:color w:val="auto"/>
          <w:spacing w:val="-6"/>
          <w:sz w:val="24"/>
          <w:szCs w:val="24"/>
          <w:highlight w:val="none"/>
          <w:u w:val="single"/>
        </w:rPr>
        <w:t>）</w:t>
      </w:r>
      <w:r>
        <w:rPr>
          <w:rFonts w:hint="eastAsia" w:eastAsia="仿宋_GB2312" w:cs="仿宋_GB2312"/>
          <w:color w:val="auto"/>
          <w:spacing w:val="-6"/>
          <w:sz w:val="24"/>
          <w:szCs w:val="24"/>
          <w:highlight w:val="none"/>
        </w:rPr>
        <w:t>投标。现就联合体投标事宜订立如下协议。</w:t>
      </w:r>
    </w:p>
    <w:p w14:paraId="128207E7">
      <w:pPr>
        <w:pStyle w:val="9"/>
        <w:tabs>
          <w:tab w:val="left" w:pos="2673"/>
          <w:tab w:val="left" w:pos="5614"/>
        </w:tabs>
        <w:adjustRightInd w:val="0"/>
        <w:snapToGrid w:val="0"/>
        <w:spacing w:after="0" w:line="360" w:lineRule="auto"/>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1、</w:t>
      </w:r>
      <w:r>
        <w:rPr>
          <w:rFonts w:hint="eastAsia" w:eastAsia="仿宋_GB2312" w:cs="仿宋_GB2312"/>
          <w:color w:val="auto"/>
          <w:sz w:val="24"/>
          <w:szCs w:val="24"/>
          <w:highlight w:val="none"/>
          <w:u w:val="single"/>
        </w:rPr>
        <w:t xml:space="preserve">          （某成员单位名称）</w:t>
      </w:r>
      <w:r>
        <w:rPr>
          <w:rFonts w:hint="eastAsia" w:eastAsia="仿宋_GB2312" w:cs="仿宋_GB2312"/>
          <w:color w:val="auto"/>
          <w:sz w:val="24"/>
          <w:szCs w:val="24"/>
          <w:highlight w:val="none"/>
        </w:rPr>
        <w:t>为联合体牵头人。</w:t>
      </w:r>
    </w:p>
    <w:p w14:paraId="2175D1E8">
      <w:pPr>
        <w:pStyle w:val="9"/>
        <w:adjustRightInd w:val="0"/>
        <w:snapToGrid w:val="0"/>
        <w:spacing w:after="0" w:line="360" w:lineRule="auto"/>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40027278">
      <w:pPr>
        <w:pStyle w:val="9"/>
        <w:adjustRightInd w:val="0"/>
        <w:snapToGrid w:val="0"/>
        <w:spacing w:after="0" w:line="360" w:lineRule="auto"/>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38EE407C">
      <w:pPr>
        <w:pStyle w:val="9"/>
        <w:tabs>
          <w:tab w:val="left" w:pos="8741"/>
        </w:tabs>
        <w:adjustRightInd w:val="0"/>
        <w:snapToGrid w:val="0"/>
        <w:spacing w:after="0" w:line="360" w:lineRule="auto"/>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4、</w:t>
      </w:r>
      <w:r>
        <w:rPr>
          <w:rFonts w:hint="eastAsia" w:eastAsia="仿宋_GB2312" w:cs="仿宋_GB2312"/>
          <w:color w:val="auto"/>
          <w:spacing w:val="-3"/>
          <w:sz w:val="24"/>
          <w:szCs w:val="24"/>
          <w:highlight w:val="none"/>
        </w:rPr>
        <w:t>联合体各成员单位内部的职责分工如下：</w:t>
      </w:r>
      <w:r>
        <w:rPr>
          <w:rFonts w:hint="eastAsia" w:eastAsia="仿宋_GB2312" w:cs="仿宋_GB2312"/>
          <w:color w:val="auto"/>
          <w:sz w:val="24"/>
          <w:szCs w:val="24"/>
          <w:highlight w:val="none"/>
          <w:u w:val="single"/>
        </w:rPr>
        <w:t xml:space="preserve">          </w:t>
      </w:r>
      <w:r>
        <w:rPr>
          <w:rFonts w:hint="eastAsia" w:eastAsia="仿宋_GB2312" w:cs="仿宋_GB2312"/>
          <w:color w:val="auto"/>
          <w:sz w:val="24"/>
          <w:szCs w:val="24"/>
          <w:highlight w:val="none"/>
        </w:rPr>
        <w:t>。</w:t>
      </w:r>
    </w:p>
    <w:p w14:paraId="272C9530">
      <w:pPr>
        <w:pStyle w:val="9"/>
        <w:adjustRightInd w:val="0"/>
        <w:snapToGrid w:val="0"/>
        <w:spacing w:after="0" w:line="360" w:lineRule="auto"/>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5、本协议书自所有成员单位法定代表人或其委托代理人签字或盖单位章之日起生效，合同履行完毕后自动失效。</w:t>
      </w:r>
    </w:p>
    <w:p w14:paraId="7464187E">
      <w:pPr>
        <w:pStyle w:val="9"/>
        <w:tabs>
          <w:tab w:val="left" w:pos="2464"/>
        </w:tabs>
        <w:adjustRightInd w:val="0"/>
        <w:snapToGrid w:val="0"/>
        <w:spacing w:after="0" w:line="360" w:lineRule="auto"/>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6、本协议书一式</w:t>
      </w:r>
      <w:r>
        <w:rPr>
          <w:rFonts w:hint="eastAsia" w:eastAsia="仿宋_GB2312" w:cs="仿宋_GB2312"/>
          <w:color w:val="auto"/>
          <w:sz w:val="24"/>
          <w:szCs w:val="24"/>
          <w:highlight w:val="none"/>
          <w:u w:val="single"/>
        </w:rPr>
        <w:t xml:space="preserve">    </w:t>
      </w:r>
      <w:r>
        <w:rPr>
          <w:rFonts w:hint="eastAsia" w:eastAsia="仿宋_GB2312" w:cs="仿宋_GB2312"/>
          <w:color w:val="auto"/>
          <w:sz w:val="24"/>
          <w:szCs w:val="24"/>
          <w:highlight w:val="none"/>
        </w:rPr>
        <w:t>份，联合体成员和招标人各执一份。</w:t>
      </w:r>
    </w:p>
    <w:p w14:paraId="3F0C939B">
      <w:pPr>
        <w:pStyle w:val="9"/>
        <w:adjustRightInd w:val="0"/>
        <w:snapToGrid w:val="0"/>
        <w:spacing w:after="0" w:line="360" w:lineRule="auto"/>
        <w:ind w:firstLine="480" w:firstLineChars="200"/>
        <w:rPr>
          <w:rFonts w:eastAsia="仿宋_GB2312" w:cs="仿宋_GB2312"/>
          <w:color w:val="auto"/>
          <w:sz w:val="24"/>
          <w:szCs w:val="24"/>
          <w:highlight w:val="none"/>
        </w:rPr>
      </w:pPr>
      <w:r>
        <w:rPr>
          <w:rFonts w:hint="eastAsia" w:eastAsia="仿宋_GB2312" w:cs="仿宋_GB2312"/>
          <w:color w:val="auto"/>
          <w:sz w:val="24"/>
          <w:szCs w:val="24"/>
          <w:highlight w:val="none"/>
        </w:rPr>
        <w:t>注：本协议书由法定代表人签字的，应附法定代表人身份证明；由委托代理人签字的，应附授权委托书。</w:t>
      </w:r>
    </w:p>
    <w:p w14:paraId="608788A2">
      <w:pPr>
        <w:pStyle w:val="9"/>
        <w:adjustRightInd w:val="0"/>
        <w:snapToGrid w:val="0"/>
        <w:spacing w:after="0" w:line="360" w:lineRule="auto"/>
        <w:rPr>
          <w:rFonts w:eastAsia="仿宋_GB2312" w:cs="仿宋_GB2312"/>
          <w:color w:val="auto"/>
          <w:sz w:val="24"/>
          <w:szCs w:val="24"/>
          <w:highlight w:val="none"/>
        </w:rPr>
      </w:pPr>
    </w:p>
    <w:p w14:paraId="4A919B33">
      <w:pPr>
        <w:pStyle w:val="9"/>
        <w:tabs>
          <w:tab w:val="left" w:pos="7241"/>
        </w:tabs>
        <w:adjustRightInd w:val="0"/>
        <w:snapToGrid w:val="0"/>
        <w:spacing w:after="0" w:line="360" w:lineRule="auto"/>
        <w:rPr>
          <w:rFonts w:eastAsia="仿宋_GB2312" w:cs="仿宋_GB2312"/>
          <w:color w:val="auto"/>
          <w:sz w:val="24"/>
          <w:szCs w:val="24"/>
          <w:highlight w:val="none"/>
        </w:rPr>
      </w:pPr>
      <w:r>
        <w:rPr>
          <w:rFonts w:hint="eastAsia" w:eastAsia="仿宋_GB2312" w:cs="仿宋_GB2312"/>
          <w:color w:val="auto"/>
          <w:sz w:val="24"/>
          <w:szCs w:val="24"/>
          <w:highlight w:val="none"/>
        </w:rPr>
        <w:t>联合体牵头人名称：</w:t>
      </w:r>
      <w:r>
        <w:rPr>
          <w:rFonts w:hint="eastAsia" w:eastAsia="仿宋_GB2312" w:cs="仿宋_GB2312"/>
          <w:color w:val="auto"/>
          <w:sz w:val="24"/>
          <w:szCs w:val="24"/>
          <w:highlight w:val="none"/>
          <w:u w:val="single"/>
        </w:rPr>
        <w:t xml:space="preserve">                            </w:t>
      </w:r>
      <w:r>
        <w:rPr>
          <w:rFonts w:hint="eastAsia" w:eastAsia="仿宋_GB2312" w:cs="仿宋_GB2312"/>
          <w:color w:val="auto"/>
          <w:sz w:val="24"/>
          <w:szCs w:val="24"/>
          <w:highlight w:val="none"/>
        </w:rPr>
        <w:t>（盖单位章）</w:t>
      </w:r>
    </w:p>
    <w:p w14:paraId="4EFBC007">
      <w:pPr>
        <w:pStyle w:val="9"/>
        <w:tabs>
          <w:tab w:val="left" w:pos="7661"/>
        </w:tabs>
        <w:adjustRightInd w:val="0"/>
        <w:snapToGrid w:val="0"/>
        <w:spacing w:after="0" w:line="360" w:lineRule="auto"/>
        <w:rPr>
          <w:rFonts w:eastAsia="仿宋_GB2312" w:cs="仿宋_GB2312"/>
          <w:color w:val="auto"/>
          <w:sz w:val="24"/>
          <w:szCs w:val="24"/>
          <w:highlight w:val="none"/>
        </w:rPr>
      </w:pPr>
      <w:r>
        <w:rPr>
          <w:rFonts w:hint="eastAsia" w:eastAsia="仿宋_GB2312" w:cs="仿宋_GB2312"/>
          <w:color w:val="auto"/>
          <w:sz w:val="24"/>
          <w:szCs w:val="24"/>
          <w:highlight w:val="none"/>
        </w:rPr>
        <w:t>法定代表人或其委托代理人：</w:t>
      </w:r>
      <w:r>
        <w:rPr>
          <w:rFonts w:hint="eastAsia" w:eastAsia="仿宋_GB2312" w:cs="仿宋_GB2312"/>
          <w:color w:val="auto"/>
          <w:sz w:val="24"/>
          <w:szCs w:val="24"/>
          <w:highlight w:val="none"/>
          <w:u w:val="single"/>
        </w:rPr>
        <w:t xml:space="preserve">                    </w:t>
      </w:r>
      <w:r>
        <w:rPr>
          <w:rFonts w:hint="eastAsia" w:eastAsia="仿宋_GB2312" w:cs="仿宋_GB2312"/>
          <w:color w:val="auto"/>
          <w:sz w:val="24"/>
          <w:szCs w:val="24"/>
          <w:highlight w:val="none"/>
        </w:rPr>
        <w:t>（签字）</w:t>
      </w:r>
    </w:p>
    <w:p w14:paraId="2B02B7D8">
      <w:pPr>
        <w:pStyle w:val="9"/>
        <w:adjustRightInd w:val="0"/>
        <w:snapToGrid w:val="0"/>
        <w:spacing w:after="0" w:line="360" w:lineRule="auto"/>
        <w:rPr>
          <w:rFonts w:eastAsia="仿宋_GB2312" w:cs="仿宋_GB2312"/>
          <w:color w:val="auto"/>
          <w:sz w:val="24"/>
          <w:szCs w:val="24"/>
          <w:highlight w:val="none"/>
        </w:rPr>
      </w:pPr>
    </w:p>
    <w:p w14:paraId="22539125">
      <w:pPr>
        <w:pStyle w:val="9"/>
        <w:tabs>
          <w:tab w:val="left" w:pos="7241"/>
        </w:tabs>
        <w:adjustRightInd w:val="0"/>
        <w:snapToGrid w:val="0"/>
        <w:spacing w:after="0" w:line="360" w:lineRule="auto"/>
        <w:rPr>
          <w:rFonts w:eastAsia="仿宋_GB2312" w:cs="仿宋_GB2312"/>
          <w:color w:val="auto"/>
          <w:sz w:val="24"/>
          <w:szCs w:val="24"/>
          <w:highlight w:val="none"/>
        </w:rPr>
      </w:pPr>
      <w:r>
        <w:rPr>
          <w:rFonts w:hint="eastAsia" w:eastAsia="仿宋_GB2312" w:cs="仿宋_GB2312"/>
          <w:color w:val="auto"/>
          <w:sz w:val="24"/>
          <w:szCs w:val="24"/>
          <w:highlight w:val="none"/>
        </w:rPr>
        <w:t>联合体成员名称：</w:t>
      </w:r>
      <w:r>
        <w:rPr>
          <w:rFonts w:hint="eastAsia" w:eastAsia="仿宋_GB2312" w:cs="仿宋_GB2312"/>
          <w:color w:val="auto"/>
          <w:sz w:val="24"/>
          <w:szCs w:val="24"/>
          <w:highlight w:val="none"/>
          <w:u w:val="single"/>
        </w:rPr>
        <w:t xml:space="preserve">                              </w:t>
      </w:r>
      <w:r>
        <w:rPr>
          <w:rFonts w:hint="eastAsia" w:eastAsia="仿宋_GB2312" w:cs="仿宋_GB2312"/>
          <w:color w:val="auto"/>
          <w:sz w:val="24"/>
          <w:szCs w:val="24"/>
          <w:highlight w:val="none"/>
        </w:rPr>
        <w:t>（盖单位章）</w:t>
      </w:r>
    </w:p>
    <w:p w14:paraId="7AF3EA57">
      <w:pPr>
        <w:pStyle w:val="9"/>
        <w:tabs>
          <w:tab w:val="left" w:pos="7658"/>
        </w:tabs>
        <w:adjustRightInd w:val="0"/>
        <w:snapToGrid w:val="0"/>
        <w:spacing w:after="0" w:line="360" w:lineRule="auto"/>
        <w:rPr>
          <w:rFonts w:eastAsia="仿宋_GB2312" w:cs="仿宋_GB2312"/>
          <w:color w:val="auto"/>
          <w:sz w:val="24"/>
          <w:szCs w:val="24"/>
          <w:highlight w:val="none"/>
        </w:rPr>
      </w:pPr>
      <w:r>
        <w:rPr>
          <w:rFonts w:hint="eastAsia" w:eastAsia="仿宋_GB2312" w:cs="仿宋_GB2312"/>
          <w:color w:val="auto"/>
          <w:sz w:val="24"/>
          <w:szCs w:val="24"/>
          <w:highlight w:val="none"/>
        </w:rPr>
        <w:t>法定代表人或其委托代理人：</w:t>
      </w:r>
      <w:r>
        <w:rPr>
          <w:rFonts w:hint="eastAsia" w:eastAsia="仿宋_GB2312" w:cs="仿宋_GB2312"/>
          <w:color w:val="auto"/>
          <w:sz w:val="24"/>
          <w:szCs w:val="24"/>
          <w:highlight w:val="none"/>
          <w:u w:val="single"/>
        </w:rPr>
        <w:t xml:space="preserve">                    </w:t>
      </w:r>
      <w:r>
        <w:rPr>
          <w:rFonts w:hint="eastAsia" w:eastAsia="仿宋_GB2312" w:cs="仿宋_GB2312"/>
          <w:color w:val="auto"/>
          <w:sz w:val="24"/>
          <w:szCs w:val="24"/>
          <w:highlight w:val="none"/>
        </w:rPr>
        <w:t>（签字）</w:t>
      </w:r>
    </w:p>
    <w:p w14:paraId="7A720AC1">
      <w:pPr>
        <w:pStyle w:val="9"/>
        <w:adjustRightInd w:val="0"/>
        <w:snapToGrid w:val="0"/>
        <w:spacing w:after="0" w:line="360" w:lineRule="auto"/>
        <w:rPr>
          <w:rFonts w:eastAsia="仿宋_GB2312" w:cs="仿宋_GB2312"/>
          <w:color w:val="auto"/>
          <w:sz w:val="24"/>
          <w:szCs w:val="24"/>
          <w:highlight w:val="none"/>
        </w:rPr>
      </w:pPr>
    </w:p>
    <w:p w14:paraId="041397C3">
      <w:pPr>
        <w:pStyle w:val="9"/>
        <w:tabs>
          <w:tab w:val="left" w:pos="7241"/>
        </w:tabs>
        <w:adjustRightInd w:val="0"/>
        <w:snapToGrid w:val="0"/>
        <w:spacing w:after="0" w:line="360" w:lineRule="auto"/>
        <w:rPr>
          <w:rFonts w:eastAsia="仿宋_GB2312" w:cs="仿宋_GB2312"/>
          <w:color w:val="auto"/>
          <w:sz w:val="24"/>
          <w:szCs w:val="24"/>
          <w:highlight w:val="none"/>
        </w:rPr>
      </w:pPr>
      <w:r>
        <w:rPr>
          <w:rFonts w:hint="eastAsia" w:eastAsia="仿宋_GB2312" w:cs="仿宋_GB2312"/>
          <w:color w:val="auto"/>
          <w:sz w:val="24"/>
          <w:szCs w:val="24"/>
          <w:highlight w:val="none"/>
        </w:rPr>
        <w:t>联合体成员名称：</w:t>
      </w:r>
      <w:r>
        <w:rPr>
          <w:rFonts w:hint="eastAsia" w:eastAsia="仿宋_GB2312" w:cs="仿宋_GB2312"/>
          <w:color w:val="auto"/>
          <w:sz w:val="24"/>
          <w:szCs w:val="24"/>
          <w:highlight w:val="none"/>
          <w:u w:val="single"/>
        </w:rPr>
        <w:t xml:space="preserve">                              </w:t>
      </w:r>
      <w:r>
        <w:rPr>
          <w:rFonts w:hint="eastAsia" w:eastAsia="仿宋_GB2312" w:cs="仿宋_GB2312"/>
          <w:color w:val="auto"/>
          <w:sz w:val="24"/>
          <w:szCs w:val="24"/>
          <w:highlight w:val="none"/>
        </w:rPr>
        <w:t>（盖单位章）</w:t>
      </w:r>
    </w:p>
    <w:p w14:paraId="7EB1BAE0">
      <w:pPr>
        <w:pStyle w:val="9"/>
        <w:tabs>
          <w:tab w:val="left" w:pos="7658"/>
        </w:tabs>
        <w:adjustRightInd w:val="0"/>
        <w:snapToGrid w:val="0"/>
        <w:spacing w:after="0" w:line="360" w:lineRule="auto"/>
        <w:rPr>
          <w:rFonts w:eastAsia="仿宋_GB2312" w:cs="仿宋_GB2312"/>
          <w:color w:val="auto"/>
          <w:sz w:val="24"/>
          <w:szCs w:val="24"/>
          <w:highlight w:val="none"/>
        </w:rPr>
      </w:pPr>
      <w:r>
        <w:rPr>
          <w:rFonts w:hint="eastAsia" w:eastAsia="仿宋_GB2312" w:cs="仿宋_GB2312"/>
          <w:color w:val="auto"/>
          <w:sz w:val="24"/>
          <w:szCs w:val="24"/>
          <w:highlight w:val="none"/>
        </w:rPr>
        <w:t>法定代表人或其委托代理人：</w:t>
      </w:r>
      <w:r>
        <w:rPr>
          <w:rFonts w:hint="eastAsia" w:eastAsia="仿宋_GB2312" w:cs="仿宋_GB2312"/>
          <w:color w:val="auto"/>
          <w:sz w:val="24"/>
          <w:szCs w:val="24"/>
          <w:highlight w:val="none"/>
          <w:u w:val="single"/>
        </w:rPr>
        <w:t xml:space="preserve">                    </w:t>
      </w:r>
      <w:r>
        <w:rPr>
          <w:rFonts w:hint="eastAsia" w:eastAsia="仿宋_GB2312" w:cs="仿宋_GB2312"/>
          <w:color w:val="auto"/>
          <w:sz w:val="24"/>
          <w:szCs w:val="24"/>
          <w:highlight w:val="none"/>
        </w:rPr>
        <w:t>（签字）</w:t>
      </w:r>
    </w:p>
    <w:p w14:paraId="035B1592">
      <w:pPr>
        <w:pStyle w:val="9"/>
        <w:adjustRightInd w:val="0"/>
        <w:snapToGrid w:val="0"/>
        <w:spacing w:after="0" w:line="360" w:lineRule="auto"/>
        <w:ind w:firstLine="2880" w:firstLineChars="1200"/>
        <w:rPr>
          <w:rFonts w:eastAsia="仿宋_GB2312" w:cs="仿宋_GB2312"/>
          <w:i/>
          <w:color w:val="auto"/>
          <w:sz w:val="24"/>
          <w:szCs w:val="24"/>
          <w:highlight w:val="none"/>
        </w:rPr>
      </w:pPr>
      <w:r>
        <w:rPr>
          <w:rFonts w:hint="eastAsia" w:eastAsia="仿宋_GB2312" w:cs="仿宋_GB2312"/>
          <w:i/>
          <w:color w:val="auto"/>
          <w:sz w:val="24"/>
          <w:szCs w:val="24"/>
          <w:highlight w:val="none"/>
        </w:rPr>
        <w:t>（可根据联合体成员单位数量自行添加）</w:t>
      </w:r>
    </w:p>
    <w:p w14:paraId="58572E9F">
      <w:pPr>
        <w:adjustRightInd w:val="0"/>
        <w:snapToGrid w:val="0"/>
        <w:spacing w:line="360" w:lineRule="auto"/>
        <w:jc w:val="right"/>
        <w:rPr>
          <w:rFonts w:cs="仿宋_GB2312"/>
          <w:b/>
          <w:color w:val="auto"/>
          <w:sz w:val="24"/>
          <w:highlight w:val="none"/>
        </w:rPr>
      </w:pPr>
      <w:r>
        <w:rPr>
          <w:rFonts w:hint="eastAsia" w:cs="仿宋_GB2312"/>
          <w:color w:val="auto"/>
          <w:sz w:val="24"/>
          <w:highlight w:val="none"/>
          <w:u w:val="single"/>
        </w:rPr>
        <w:t xml:space="preserve">        </w:t>
      </w:r>
      <w:r>
        <w:rPr>
          <w:rFonts w:hint="eastAsia" w:cs="仿宋_GB2312"/>
          <w:color w:val="auto"/>
          <w:sz w:val="24"/>
          <w:highlight w:val="none"/>
        </w:rPr>
        <w:t>年</w:t>
      </w:r>
      <w:r>
        <w:rPr>
          <w:rFonts w:hint="eastAsia" w:cs="仿宋_GB2312"/>
          <w:color w:val="auto"/>
          <w:sz w:val="24"/>
          <w:highlight w:val="none"/>
          <w:u w:val="single"/>
        </w:rPr>
        <w:t xml:space="preserve">    </w:t>
      </w:r>
      <w:r>
        <w:rPr>
          <w:rFonts w:hint="eastAsia" w:cs="仿宋_GB2312"/>
          <w:color w:val="auto"/>
          <w:spacing w:val="-3"/>
          <w:sz w:val="24"/>
          <w:highlight w:val="none"/>
        </w:rPr>
        <w:t>月</w:t>
      </w:r>
      <w:r>
        <w:rPr>
          <w:rFonts w:hint="eastAsia" w:cs="仿宋_GB2312"/>
          <w:color w:val="auto"/>
          <w:spacing w:val="-3"/>
          <w:sz w:val="24"/>
          <w:highlight w:val="none"/>
          <w:u w:val="single"/>
        </w:rPr>
        <w:t xml:space="preserve">    </w:t>
      </w:r>
      <w:r>
        <w:rPr>
          <w:rFonts w:hint="eastAsia" w:cs="仿宋_GB2312"/>
          <w:color w:val="auto"/>
          <w:sz w:val="24"/>
          <w:highlight w:val="none"/>
        </w:rPr>
        <w:t>日</w:t>
      </w:r>
    </w:p>
    <w:p w14:paraId="23A46686">
      <w:pPr>
        <w:pStyle w:val="5"/>
        <w:jc w:val="center"/>
        <w:rPr>
          <w:rFonts w:ascii="Times New Roman" w:hAnsi="Times New Roman" w:eastAsia="仿宋_GB2312" w:cs="仿宋_GB2312"/>
          <w:bCs w:val="0"/>
          <w:color w:val="auto"/>
          <w:sz w:val="24"/>
          <w:szCs w:val="24"/>
          <w:highlight w:val="none"/>
          <w:lang w:val="zh-CN"/>
        </w:rPr>
      </w:pPr>
      <w:r>
        <w:rPr>
          <w:rFonts w:hint="eastAsia" w:ascii="Times New Roman" w:hAnsi="Times New Roman" w:eastAsia="仿宋_GB2312" w:cs="仿宋_GB2312"/>
          <w:color w:val="auto"/>
          <w:sz w:val="24"/>
          <w:szCs w:val="24"/>
          <w:highlight w:val="none"/>
        </w:rPr>
        <w:br w:type="page"/>
      </w:r>
    </w:p>
    <w:p w14:paraId="74FDF792">
      <w:pPr>
        <w:jc w:val="center"/>
        <w:rPr>
          <w:rFonts w:cs="仿宋_GB2312"/>
          <w:color w:val="auto"/>
          <w:sz w:val="24"/>
          <w:highlight w:val="none"/>
        </w:rPr>
      </w:pPr>
    </w:p>
    <w:p w14:paraId="4E0F9486">
      <w:pPr>
        <w:pStyle w:val="5"/>
        <w:jc w:val="center"/>
        <w:rPr>
          <w:rFonts w:ascii="Times New Roman" w:hAnsi="Times New Roman" w:eastAsia="仿宋_GB2312" w:cs="仿宋_GB2312"/>
          <w:bCs w:val="0"/>
          <w:color w:val="auto"/>
          <w:sz w:val="24"/>
          <w:szCs w:val="24"/>
          <w:highlight w:val="none"/>
        </w:rPr>
      </w:pPr>
      <w:r>
        <w:rPr>
          <w:rFonts w:hint="eastAsia" w:ascii="Times New Roman" w:hAnsi="Times New Roman" w:eastAsia="仿宋_GB2312" w:cs="仿宋_GB2312"/>
          <w:bCs w:val="0"/>
          <w:color w:val="auto"/>
          <w:sz w:val="24"/>
          <w:szCs w:val="24"/>
          <w:highlight w:val="none"/>
        </w:rPr>
        <w:t>五、商务偏离表</w:t>
      </w:r>
    </w:p>
    <w:p w14:paraId="46C1B584">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投标人应根据其投标文件响应情况，对照招标文件的要求，有差异的，则在表中写明实际响应的具体内容。</w:t>
      </w:r>
    </w:p>
    <w:tbl>
      <w:tblPr>
        <w:tblStyle w:val="26"/>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0928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105D64D2">
            <w:pPr>
              <w:adjustRightInd w:val="0"/>
              <w:snapToGrid w:val="0"/>
              <w:jc w:val="center"/>
              <w:rPr>
                <w:rFonts w:cs="仿宋_GB2312"/>
                <w:color w:val="auto"/>
                <w:sz w:val="24"/>
                <w:highlight w:val="none"/>
              </w:rPr>
            </w:pPr>
            <w:r>
              <w:rPr>
                <w:rFonts w:hint="eastAsia" w:cs="仿宋_GB2312"/>
                <w:color w:val="auto"/>
                <w:sz w:val="24"/>
                <w:highlight w:val="none"/>
              </w:rPr>
              <w:t>序号</w:t>
            </w:r>
          </w:p>
        </w:tc>
        <w:tc>
          <w:tcPr>
            <w:tcW w:w="3143" w:type="dxa"/>
            <w:gridSpan w:val="2"/>
            <w:vAlign w:val="center"/>
          </w:tcPr>
          <w:p w14:paraId="69F173ED">
            <w:pPr>
              <w:adjustRightInd w:val="0"/>
              <w:snapToGrid w:val="0"/>
              <w:jc w:val="center"/>
              <w:rPr>
                <w:rFonts w:cs="仿宋_GB2312"/>
                <w:color w:val="auto"/>
                <w:sz w:val="24"/>
                <w:highlight w:val="none"/>
              </w:rPr>
            </w:pPr>
            <w:r>
              <w:rPr>
                <w:rFonts w:hint="eastAsia" w:cs="仿宋_GB2312"/>
                <w:color w:val="auto"/>
                <w:sz w:val="24"/>
                <w:highlight w:val="none"/>
              </w:rPr>
              <w:t>招标文件要求</w:t>
            </w:r>
          </w:p>
        </w:tc>
        <w:tc>
          <w:tcPr>
            <w:tcW w:w="3921" w:type="dxa"/>
            <w:gridSpan w:val="2"/>
            <w:vAlign w:val="center"/>
          </w:tcPr>
          <w:p w14:paraId="6EF9284E">
            <w:pPr>
              <w:adjustRightInd w:val="0"/>
              <w:snapToGrid w:val="0"/>
              <w:jc w:val="center"/>
              <w:rPr>
                <w:rFonts w:cs="仿宋_GB2312"/>
                <w:color w:val="auto"/>
                <w:sz w:val="24"/>
                <w:highlight w:val="none"/>
              </w:rPr>
            </w:pPr>
            <w:r>
              <w:rPr>
                <w:rFonts w:hint="eastAsia" w:cs="仿宋_GB2312"/>
                <w:color w:val="auto"/>
                <w:sz w:val="24"/>
                <w:highlight w:val="none"/>
              </w:rPr>
              <w:t>投标文件内容</w:t>
            </w:r>
          </w:p>
        </w:tc>
        <w:tc>
          <w:tcPr>
            <w:tcW w:w="1367" w:type="dxa"/>
            <w:vMerge w:val="restart"/>
            <w:vAlign w:val="center"/>
          </w:tcPr>
          <w:p w14:paraId="678C370A">
            <w:pPr>
              <w:adjustRightInd w:val="0"/>
              <w:snapToGrid w:val="0"/>
              <w:jc w:val="center"/>
              <w:rPr>
                <w:rFonts w:cs="仿宋_GB2312"/>
                <w:color w:val="auto"/>
                <w:sz w:val="24"/>
                <w:highlight w:val="none"/>
              </w:rPr>
            </w:pPr>
            <w:r>
              <w:rPr>
                <w:rFonts w:hint="eastAsia" w:cs="仿宋_GB2312"/>
                <w:color w:val="auto"/>
                <w:sz w:val="24"/>
                <w:highlight w:val="none"/>
              </w:rPr>
              <w:t>备注</w:t>
            </w:r>
          </w:p>
        </w:tc>
      </w:tr>
      <w:tr w14:paraId="2557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6C236D48">
            <w:pPr>
              <w:adjustRightInd w:val="0"/>
              <w:snapToGrid w:val="0"/>
              <w:jc w:val="center"/>
              <w:rPr>
                <w:rFonts w:cs="仿宋_GB2312"/>
                <w:color w:val="auto"/>
                <w:sz w:val="24"/>
                <w:highlight w:val="none"/>
              </w:rPr>
            </w:pPr>
          </w:p>
        </w:tc>
        <w:tc>
          <w:tcPr>
            <w:tcW w:w="1140" w:type="dxa"/>
            <w:vAlign w:val="center"/>
          </w:tcPr>
          <w:p w14:paraId="26244C22">
            <w:pPr>
              <w:adjustRightInd w:val="0"/>
              <w:snapToGrid w:val="0"/>
              <w:jc w:val="center"/>
              <w:rPr>
                <w:rFonts w:cs="仿宋_GB2312"/>
                <w:color w:val="auto"/>
                <w:sz w:val="24"/>
                <w:highlight w:val="none"/>
              </w:rPr>
            </w:pPr>
            <w:r>
              <w:rPr>
                <w:rFonts w:hint="eastAsia" w:cs="仿宋_GB2312"/>
                <w:color w:val="auto"/>
                <w:sz w:val="24"/>
                <w:highlight w:val="none"/>
              </w:rPr>
              <w:t>条目</w:t>
            </w:r>
          </w:p>
        </w:tc>
        <w:tc>
          <w:tcPr>
            <w:tcW w:w="2003" w:type="dxa"/>
            <w:vAlign w:val="center"/>
          </w:tcPr>
          <w:p w14:paraId="59897A42">
            <w:pPr>
              <w:adjustRightInd w:val="0"/>
              <w:snapToGrid w:val="0"/>
              <w:jc w:val="center"/>
              <w:rPr>
                <w:rFonts w:cs="仿宋_GB2312"/>
                <w:color w:val="auto"/>
                <w:sz w:val="24"/>
                <w:highlight w:val="none"/>
              </w:rPr>
            </w:pPr>
            <w:r>
              <w:rPr>
                <w:rFonts w:hint="eastAsia" w:cs="仿宋_GB2312"/>
                <w:color w:val="auto"/>
                <w:sz w:val="24"/>
                <w:highlight w:val="none"/>
              </w:rPr>
              <w:t>简要内容</w:t>
            </w:r>
          </w:p>
        </w:tc>
        <w:tc>
          <w:tcPr>
            <w:tcW w:w="1200" w:type="dxa"/>
            <w:vAlign w:val="center"/>
          </w:tcPr>
          <w:p w14:paraId="0A2421E0">
            <w:pPr>
              <w:adjustRightInd w:val="0"/>
              <w:snapToGrid w:val="0"/>
              <w:jc w:val="center"/>
              <w:rPr>
                <w:rFonts w:cs="仿宋_GB2312"/>
                <w:color w:val="auto"/>
                <w:sz w:val="24"/>
                <w:highlight w:val="none"/>
              </w:rPr>
            </w:pPr>
            <w:r>
              <w:rPr>
                <w:rFonts w:hint="eastAsia" w:cs="仿宋_GB2312"/>
                <w:color w:val="auto"/>
                <w:sz w:val="24"/>
                <w:highlight w:val="none"/>
              </w:rPr>
              <w:t>条目</w:t>
            </w:r>
          </w:p>
        </w:tc>
        <w:tc>
          <w:tcPr>
            <w:tcW w:w="2721" w:type="dxa"/>
            <w:vAlign w:val="center"/>
          </w:tcPr>
          <w:p w14:paraId="2734576F">
            <w:pPr>
              <w:adjustRightInd w:val="0"/>
              <w:snapToGrid w:val="0"/>
              <w:jc w:val="center"/>
              <w:rPr>
                <w:rFonts w:cs="仿宋_GB2312"/>
                <w:color w:val="auto"/>
                <w:sz w:val="24"/>
                <w:highlight w:val="none"/>
              </w:rPr>
            </w:pPr>
            <w:r>
              <w:rPr>
                <w:rFonts w:hint="eastAsia" w:cs="仿宋_GB2312"/>
                <w:color w:val="auto"/>
                <w:sz w:val="24"/>
                <w:highlight w:val="none"/>
              </w:rPr>
              <w:t>实际响应的具体内容</w:t>
            </w:r>
          </w:p>
        </w:tc>
        <w:tc>
          <w:tcPr>
            <w:tcW w:w="1367" w:type="dxa"/>
            <w:vMerge w:val="continue"/>
            <w:vAlign w:val="center"/>
          </w:tcPr>
          <w:p w14:paraId="1E0AF4A0">
            <w:pPr>
              <w:adjustRightInd w:val="0"/>
              <w:snapToGrid w:val="0"/>
              <w:jc w:val="center"/>
              <w:rPr>
                <w:rFonts w:cs="仿宋_GB2312"/>
                <w:color w:val="auto"/>
                <w:sz w:val="24"/>
                <w:highlight w:val="none"/>
              </w:rPr>
            </w:pPr>
          </w:p>
        </w:tc>
      </w:tr>
      <w:tr w14:paraId="72DF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22D0F42">
            <w:pPr>
              <w:adjustRightInd w:val="0"/>
              <w:snapToGrid w:val="0"/>
              <w:jc w:val="center"/>
              <w:rPr>
                <w:rFonts w:cs="仿宋_GB2312"/>
                <w:color w:val="auto"/>
                <w:sz w:val="24"/>
                <w:highlight w:val="none"/>
              </w:rPr>
            </w:pPr>
          </w:p>
        </w:tc>
        <w:tc>
          <w:tcPr>
            <w:tcW w:w="1140" w:type="dxa"/>
            <w:vAlign w:val="center"/>
          </w:tcPr>
          <w:p w14:paraId="35AF11F2">
            <w:pPr>
              <w:adjustRightInd w:val="0"/>
              <w:snapToGrid w:val="0"/>
              <w:jc w:val="center"/>
              <w:rPr>
                <w:rFonts w:cs="仿宋_GB2312"/>
                <w:color w:val="auto"/>
                <w:sz w:val="24"/>
                <w:highlight w:val="none"/>
              </w:rPr>
            </w:pPr>
          </w:p>
        </w:tc>
        <w:tc>
          <w:tcPr>
            <w:tcW w:w="2003" w:type="dxa"/>
            <w:vAlign w:val="center"/>
          </w:tcPr>
          <w:p w14:paraId="185048E2">
            <w:pPr>
              <w:adjustRightInd w:val="0"/>
              <w:snapToGrid w:val="0"/>
              <w:jc w:val="center"/>
              <w:rPr>
                <w:rFonts w:cs="仿宋_GB2312"/>
                <w:color w:val="auto"/>
                <w:sz w:val="24"/>
                <w:highlight w:val="none"/>
              </w:rPr>
            </w:pPr>
          </w:p>
        </w:tc>
        <w:tc>
          <w:tcPr>
            <w:tcW w:w="1200" w:type="dxa"/>
            <w:vAlign w:val="center"/>
          </w:tcPr>
          <w:p w14:paraId="5B08C304">
            <w:pPr>
              <w:adjustRightInd w:val="0"/>
              <w:snapToGrid w:val="0"/>
              <w:jc w:val="center"/>
              <w:rPr>
                <w:rFonts w:cs="仿宋_GB2312"/>
                <w:color w:val="auto"/>
                <w:sz w:val="24"/>
                <w:highlight w:val="none"/>
              </w:rPr>
            </w:pPr>
          </w:p>
        </w:tc>
        <w:tc>
          <w:tcPr>
            <w:tcW w:w="2721" w:type="dxa"/>
            <w:vAlign w:val="center"/>
          </w:tcPr>
          <w:p w14:paraId="7A2E6424">
            <w:pPr>
              <w:adjustRightInd w:val="0"/>
              <w:snapToGrid w:val="0"/>
              <w:jc w:val="center"/>
              <w:rPr>
                <w:rFonts w:cs="仿宋_GB2312"/>
                <w:color w:val="auto"/>
                <w:sz w:val="24"/>
                <w:highlight w:val="none"/>
              </w:rPr>
            </w:pPr>
          </w:p>
        </w:tc>
        <w:tc>
          <w:tcPr>
            <w:tcW w:w="1367" w:type="dxa"/>
            <w:vAlign w:val="center"/>
          </w:tcPr>
          <w:p w14:paraId="60C4A44D">
            <w:pPr>
              <w:adjustRightInd w:val="0"/>
              <w:snapToGrid w:val="0"/>
              <w:jc w:val="center"/>
              <w:rPr>
                <w:rFonts w:cs="仿宋_GB2312"/>
                <w:color w:val="auto"/>
                <w:sz w:val="24"/>
                <w:highlight w:val="none"/>
              </w:rPr>
            </w:pPr>
          </w:p>
        </w:tc>
      </w:tr>
      <w:tr w14:paraId="1E60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4CB3CE5">
            <w:pPr>
              <w:adjustRightInd w:val="0"/>
              <w:snapToGrid w:val="0"/>
              <w:jc w:val="center"/>
              <w:rPr>
                <w:rFonts w:cs="仿宋_GB2312"/>
                <w:color w:val="auto"/>
                <w:sz w:val="24"/>
                <w:highlight w:val="none"/>
              </w:rPr>
            </w:pPr>
          </w:p>
        </w:tc>
        <w:tc>
          <w:tcPr>
            <w:tcW w:w="1140" w:type="dxa"/>
            <w:vAlign w:val="center"/>
          </w:tcPr>
          <w:p w14:paraId="53EBCB45">
            <w:pPr>
              <w:adjustRightInd w:val="0"/>
              <w:snapToGrid w:val="0"/>
              <w:jc w:val="center"/>
              <w:rPr>
                <w:rFonts w:cs="仿宋_GB2312"/>
                <w:color w:val="auto"/>
                <w:sz w:val="24"/>
                <w:highlight w:val="none"/>
              </w:rPr>
            </w:pPr>
          </w:p>
        </w:tc>
        <w:tc>
          <w:tcPr>
            <w:tcW w:w="2003" w:type="dxa"/>
            <w:vAlign w:val="center"/>
          </w:tcPr>
          <w:p w14:paraId="17E20B1B">
            <w:pPr>
              <w:adjustRightInd w:val="0"/>
              <w:snapToGrid w:val="0"/>
              <w:jc w:val="center"/>
              <w:rPr>
                <w:rFonts w:cs="仿宋_GB2312"/>
                <w:color w:val="auto"/>
                <w:sz w:val="24"/>
                <w:highlight w:val="none"/>
              </w:rPr>
            </w:pPr>
          </w:p>
        </w:tc>
        <w:tc>
          <w:tcPr>
            <w:tcW w:w="1200" w:type="dxa"/>
            <w:vAlign w:val="center"/>
          </w:tcPr>
          <w:p w14:paraId="55D0DA02">
            <w:pPr>
              <w:adjustRightInd w:val="0"/>
              <w:snapToGrid w:val="0"/>
              <w:jc w:val="center"/>
              <w:rPr>
                <w:rFonts w:cs="仿宋_GB2312"/>
                <w:color w:val="auto"/>
                <w:sz w:val="24"/>
                <w:highlight w:val="none"/>
              </w:rPr>
            </w:pPr>
          </w:p>
        </w:tc>
        <w:tc>
          <w:tcPr>
            <w:tcW w:w="2721" w:type="dxa"/>
            <w:vAlign w:val="center"/>
          </w:tcPr>
          <w:p w14:paraId="48485857">
            <w:pPr>
              <w:adjustRightInd w:val="0"/>
              <w:snapToGrid w:val="0"/>
              <w:jc w:val="center"/>
              <w:rPr>
                <w:rFonts w:cs="仿宋_GB2312"/>
                <w:color w:val="auto"/>
                <w:sz w:val="24"/>
                <w:highlight w:val="none"/>
              </w:rPr>
            </w:pPr>
          </w:p>
        </w:tc>
        <w:tc>
          <w:tcPr>
            <w:tcW w:w="1367" w:type="dxa"/>
            <w:vAlign w:val="center"/>
          </w:tcPr>
          <w:p w14:paraId="1A71E4BD">
            <w:pPr>
              <w:adjustRightInd w:val="0"/>
              <w:snapToGrid w:val="0"/>
              <w:jc w:val="center"/>
              <w:rPr>
                <w:rFonts w:cs="仿宋_GB2312"/>
                <w:color w:val="auto"/>
                <w:sz w:val="24"/>
                <w:highlight w:val="none"/>
              </w:rPr>
            </w:pPr>
          </w:p>
        </w:tc>
      </w:tr>
      <w:tr w14:paraId="066F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6664DD4">
            <w:pPr>
              <w:adjustRightInd w:val="0"/>
              <w:snapToGrid w:val="0"/>
              <w:jc w:val="center"/>
              <w:rPr>
                <w:rFonts w:cs="仿宋_GB2312"/>
                <w:color w:val="auto"/>
                <w:sz w:val="24"/>
                <w:highlight w:val="none"/>
              </w:rPr>
            </w:pPr>
          </w:p>
        </w:tc>
        <w:tc>
          <w:tcPr>
            <w:tcW w:w="1140" w:type="dxa"/>
            <w:vAlign w:val="center"/>
          </w:tcPr>
          <w:p w14:paraId="1DC46DF9">
            <w:pPr>
              <w:adjustRightInd w:val="0"/>
              <w:snapToGrid w:val="0"/>
              <w:jc w:val="center"/>
              <w:rPr>
                <w:rFonts w:cs="仿宋_GB2312"/>
                <w:color w:val="auto"/>
                <w:sz w:val="24"/>
                <w:highlight w:val="none"/>
              </w:rPr>
            </w:pPr>
          </w:p>
        </w:tc>
        <w:tc>
          <w:tcPr>
            <w:tcW w:w="2003" w:type="dxa"/>
            <w:vAlign w:val="center"/>
          </w:tcPr>
          <w:p w14:paraId="13BBA687">
            <w:pPr>
              <w:adjustRightInd w:val="0"/>
              <w:snapToGrid w:val="0"/>
              <w:jc w:val="center"/>
              <w:rPr>
                <w:rFonts w:cs="仿宋_GB2312"/>
                <w:color w:val="auto"/>
                <w:sz w:val="24"/>
                <w:highlight w:val="none"/>
              </w:rPr>
            </w:pPr>
          </w:p>
        </w:tc>
        <w:tc>
          <w:tcPr>
            <w:tcW w:w="1200" w:type="dxa"/>
            <w:vAlign w:val="center"/>
          </w:tcPr>
          <w:p w14:paraId="20F03DF2">
            <w:pPr>
              <w:adjustRightInd w:val="0"/>
              <w:snapToGrid w:val="0"/>
              <w:jc w:val="center"/>
              <w:rPr>
                <w:rFonts w:cs="仿宋_GB2312"/>
                <w:color w:val="auto"/>
                <w:sz w:val="24"/>
                <w:highlight w:val="none"/>
              </w:rPr>
            </w:pPr>
          </w:p>
        </w:tc>
        <w:tc>
          <w:tcPr>
            <w:tcW w:w="2721" w:type="dxa"/>
            <w:vAlign w:val="center"/>
          </w:tcPr>
          <w:p w14:paraId="3B852988">
            <w:pPr>
              <w:adjustRightInd w:val="0"/>
              <w:snapToGrid w:val="0"/>
              <w:jc w:val="center"/>
              <w:rPr>
                <w:rFonts w:cs="仿宋_GB2312"/>
                <w:color w:val="auto"/>
                <w:sz w:val="24"/>
                <w:highlight w:val="none"/>
              </w:rPr>
            </w:pPr>
          </w:p>
        </w:tc>
        <w:tc>
          <w:tcPr>
            <w:tcW w:w="1367" w:type="dxa"/>
            <w:vAlign w:val="center"/>
          </w:tcPr>
          <w:p w14:paraId="7E971E38">
            <w:pPr>
              <w:adjustRightInd w:val="0"/>
              <w:snapToGrid w:val="0"/>
              <w:jc w:val="center"/>
              <w:rPr>
                <w:rFonts w:cs="仿宋_GB2312"/>
                <w:color w:val="auto"/>
                <w:sz w:val="24"/>
                <w:highlight w:val="none"/>
              </w:rPr>
            </w:pPr>
          </w:p>
        </w:tc>
      </w:tr>
      <w:tr w14:paraId="5BBC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5DF365D">
            <w:pPr>
              <w:adjustRightInd w:val="0"/>
              <w:snapToGrid w:val="0"/>
              <w:jc w:val="center"/>
              <w:rPr>
                <w:rFonts w:cs="仿宋_GB2312"/>
                <w:color w:val="auto"/>
                <w:sz w:val="24"/>
                <w:highlight w:val="none"/>
              </w:rPr>
            </w:pPr>
          </w:p>
        </w:tc>
        <w:tc>
          <w:tcPr>
            <w:tcW w:w="1140" w:type="dxa"/>
            <w:vAlign w:val="center"/>
          </w:tcPr>
          <w:p w14:paraId="0F357F3B">
            <w:pPr>
              <w:adjustRightInd w:val="0"/>
              <w:snapToGrid w:val="0"/>
              <w:jc w:val="center"/>
              <w:rPr>
                <w:rFonts w:cs="仿宋_GB2312"/>
                <w:color w:val="auto"/>
                <w:sz w:val="24"/>
                <w:highlight w:val="none"/>
              </w:rPr>
            </w:pPr>
          </w:p>
        </w:tc>
        <w:tc>
          <w:tcPr>
            <w:tcW w:w="2003" w:type="dxa"/>
            <w:vAlign w:val="center"/>
          </w:tcPr>
          <w:p w14:paraId="125EAE36">
            <w:pPr>
              <w:adjustRightInd w:val="0"/>
              <w:snapToGrid w:val="0"/>
              <w:jc w:val="center"/>
              <w:rPr>
                <w:rFonts w:cs="仿宋_GB2312"/>
                <w:color w:val="auto"/>
                <w:sz w:val="24"/>
                <w:highlight w:val="none"/>
              </w:rPr>
            </w:pPr>
          </w:p>
        </w:tc>
        <w:tc>
          <w:tcPr>
            <w:tcW w:w="1200" w:type="dxa"/>
            <w:vAlign w:val="center"/>
          </w:tcPr>
          <w:p w14:paraId="554E14CC">
            <w:pPr>
              <w:adjustRightInd w:val="0"/>
              <w:snapToGrid w:val="0"/>
              <w:jc w:val="center"/>
              <w:rPr>
                <w:rFonts w:cs="仿宋_GB2312"/>
                <w:color w:val="auto"/>
                <w:sz w:val="24"/>
                <w:highlight w:val="none"/>
              </w:rPr>
            </w:pPr>
          </w:p>
        </w:tc>
        <w:tc>
          <w:tcPr>
            <w:tcW w:w="2721" w:type="dxa"/>
            <w:vAlign w:val="center"/>
          </w:tcPr>
          <w:p w14:paraId="2F80C561">
            <w:pPr>
              <w:adjustRightInd w:val="0"/>
              <w:snapToGrid w:val="0"/>
              <w:jc w:val="center"/>
              <w:rPr>
                <w:rFonts w:cs="仿宋_GB2312"/>
                <w:color w:val="auto"/>
                <w:sz w:val="24"/>
                <w:highlight w:val="none"/>
              </w:rPr>
            </w:pPr>
          </w:p>
        </w:tc>
        <w:tc>
          <w:tcPr>
            <w:tcW w:w="1367" w:type="dxa"/>
            <w:vAlign w:val="center"/>
          </w:tcPr>
          <w:p w14:paraId="7A20E9F5">
            <w:pPr>
              <w:adjustRightInd w:val="0"/>
              <w:snapToGrid w:val="0"/>
              <w:jc w:val="center"/>
              <w:rPr>
                <w:rFonts w:cs="仿宋_GB2312"/>
                <w:color w:val="auto"/>
                <w:sz w:val="24"/>
                <w:highlight w:val="none"/>
              </w:rPr>
            </w:pPr>
          </w:p>
        </w:tc>
      </w:tr>
      <w:tr w14:paraId="73C3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5B11D69">
            <w:pPr>
              <w:adjustRightInd w:val="0"/>
              <w:snapToGrid w:val="0"/>
              <w:jc w:val="center"/>
              <w:rPr>
                <w:rFonts w:cs="仿宋_GB2312"/>
                <w:color w:val="auto"/>
                <w:sz w:val="24"/>
                <w:highlight w:val="none"/>
              </w:rPr>
            </w:pPr>
          </w:p>
        </w:tc>
        <w:tc>
          <w:tcPr>
            <w:tcW w:w="1140" w:type="dxa"/>
            <w:vAlign w:val="center"/>
          </w:tcPr>
          <w:p w14:paraId="56C2347D">
            <w:pPr>
              <w:adjustRightInd w:val="0"/>
              <w:snapToGrid w:val="0"/>
              <w:jc w:val="center"/>
              <w:rPr>
                <w:rFonts w:cs="仿宋_GB2312"/>
                <w:color w:val="auto"/>
                <w:sz w:val="24"/>
                <w:highlight w:val="none"/>
              </w:rPr>
            </w:pPr>
          </w:p>
        </w:tc>
        <w:tc>
          <w:tcPr>
            <w:tcW w:w="2003" w:type="dxa"/>
            <w:vAlign w:val="center"/>
          </w:tcPr>
          <w:p w14:paraId="73647619">
            <w:pPr>
              <w:adjustRightInd w:val="0"/>
              <w:snapToGrid w:val="0"/>
              <w:jc w:val="center"/>
              <w:rPr>
                <w:rFonts w:cs="仿宋_GB2312"/>
                <w:color w:val="auto"/>
                <w:sz w:val="24"/>
                <w:highlight w:val="none"/>
              </w:rPr>
            </w:pPr>
          </w:p>
        </w:tc>
        <w:tc>
          <w:tcPr>
            <w:tcW w:w="1200" w:type="dxa"/>
            <w:vAlign w:val="center"/>
          </w:tcPr>
          <w:p w14:paraId="7013A35A">
            <w:pPr>
              <w:adjustRightInd w:val="0"/>
              <w:snapToGrid w:val="0"/>
              <w:jc w:val="center"/>
              <w:rPr>
                <w:rFonts w:cs="仿宋_GB2312"/>
                <w:color w:val="auto"/>
                <w:sz w:val="24"/>
                <w:highlight w:val="none"/>
              </w:rPr>
            </w:pPr>
          </w:p>
        </w:tc>
        <w:tc>
          <w:tcPr>
            <w:tcW w:w="2721" w:type="dxa"/>
            <w:vAlign w:val="center"/>
          </w:tcPr>
          <w:p w14:paraId="3C6EA0B7">
            <w:pPr>
              <w:adjustRightInd w:val="0"/>
              <w:snapToGrid w:val="0"/>
              <w:jc w:val="center"/>
              <w:rPr>
                <w:rFonts w:cs="仿宋_GB2312"/>
                <w:color w:val="auto"/>
                <w:sz w:val="24"/>
                <w:highlight w:val="none"/>
              </w:rPr>
            </w:pPr>
          </w:p>
        </w:tc>
        <w:tc>
          <w:tcPr>
            <w:tcW w:w="1367" w:type="dxa"/>
            <w:vAlign w:val="center"/>
          </w:tcPr>
          <w:p w14:paraId="7B187168">
            <w:pPr>
              <w:adjustRightInd w:val="0"/>
              <w:snapToGrid w:val="0"/>
              <w:jc w:val="center"/>
              <w:rPr>
                <w:rFonts w:cs="仿宋_GB2312"/>
                <w:color w:val="auto"/>
                <w:sz w:val="24"/>
                <w:highlight w:val="none"/>
              </w:rPr>
            </w:pPr>
          </w:p>
        </w:tc>
      </w:tr>
      <w:tr w14:paraId="437E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16AA53A">
            <w:pPr>
              <w:adjustRightInd w:val="0"/>
              <w:snapToGrid w:val="0"/>
              <w:jc w:val="center"/>
              <w:rPr>
                <w:rFonts w:cs="仿宋_GB2312"/>
                <w:color w:val="auto"/>
                <w:sz w:val="24"/>
                <w:highlight w:val="none"/>
              </w:rPr>
            </w:pPr>
          </w:p>
        </w:tc>
        <w:tc>
          <w:tcPr>
            <w:tcW w:w="1140" w:type="dxa"/>
            <w:vAlign w:val="center"/>
          </w:tcPr>
          <w:p w14:paraId="63516907">
            <w:pPr>
              <w:adjustRightInd w:val="0"/>
              <w:snapToGrid w:val="0"/>
              <w:jc w:val="center"/>
              <w:rPr>
                <w:rFonts w:cs="仿宋_GB2312"/>
                <w:color w:val="auto"/>
                <w:sz w:val="24"/>
                <w:highlight w:val="none"/>
              </w:rPr>
            </w:pPr>
          </w:p>
        </w:tc>
        <w:tc>
          <w:tcPr>
            <w:tcW w:w="2003" w:type="dxa"/>
            <w:vAlign w:val="center"/>
          </w:tcPr>
          <w:p w14:paraId="45370BE8">
            <w:pPr>
              <w:adjustRightInd w:val="0"/>
              <w:snapToGrid w:val="0"/>
              <w:jc w:val="center"/>
              <w:rPr>
                <w:rFonts w:cs="仿宋_GB2312"/>
                <w:color w:val="auto"/>
                <w:sz w:val="24"/>
                <w:highlight w:val="none"/>
              </w:rPr>
            </w:pPr>
          </w:p>
        </w:tc>
        <w:tc>
          <w:tcPr>
            <w:tcW w:w="1200" w:type="dxa"/>
            <w:vAlign w:val="center"/>
          </w:tcPr>
          <w:p w14:paraId="6BD09F5E">
            <w:pPr>
              <w:adjustRightInd w:val="0"/>
              <w:snapToGrid w:val="0"/>
              <w:jc w:val="center"/>
              <w:rPr>
                <w:rFonts w:cs="仿宋_GB2312"/>
                <w:color w:val="auto"/>
                <w:sz w:val="24"/>
                <w:highlight w:val="none"/>
              </w:rPr>
            </w:pPr>
          </w:p>
        </w:tc>
        <w:tc>
          <w:tcPr>
            <w:tcW w:w="2721" w:type="dxa"/>
            <w:vAlign w:val="center"/>
          </w:tcPr>
          <w:p w14:paraId="3D7EBC0E">
            <w:pPr>
              <w:adjustRightInd w:val="0"/>
              <w:snapToGrid w:val="0"/>
              <w:jc w:val="center"/>
              <w:rPr>
                <w:rFonts w:cs="仿宋_GB2312"/>
                <w:color w:val="auto"/>
                <w:sz w:val="24"/>
                <w:highlight w:val="none"/>
              </w:rPr>
            </w:pPr>
          </w:p>
        </w:tc>
        <w:tc>
          <w:tcPr>
            <w:tcW w:w="1367" w:type="dxa"/>
            <w:vAlign w:val="center"/>
          </w:tcPr>
          <w:p w14:paraId="420135EF">
            <w:pPr>
              <w:adjustRightInd w:val="0"/>
              <w:snapToGrid w:val="0"/>
              <w:jc w:val="center"/>
              <w:rPr>
                <w:rFonts w:cs="仿宋_GB2312"/>
                <w:color w:val="auto"/>
                <w:sz w:val="24"/>
                <w:highlight w:val="none"/>
              </w:rPr>
            </w:pPr>
          </w:p>
        </w:tc>
      </w:tr>
      <w:tr w14:paraId="025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7154B13">
            <w:pPr>
              <w:adjustRightInd w:val="0"/>
              <w:snapToGrid w:val="0"/>
              <w:jc w:val="center"/>
              <w:rPr>
                <w:rFonts w:cs="仿宋_GB2312"/>
                <w:color w:val="auto"/>
                <w:sz w:val="24"/>
                <w:highlight w:val="none"/>
              </w:rPr>
            </w:pPr>
          </w:p>
        </w:tc>
        <w:tc>
          <w:tcPr>
            <w:tcW w:w="1140" w:type="dxa"/>
            <w:vAlign w:val="center"/>
          </w:tcPr>
          <w:p w14:paraId="06EE05E7">
            <w:pPr>
              <w:adjustRightInd w:val="0"/>
              <w:snapToGrid w:val="0"/>
              <w:jc w:val="center"/>
              <w:rPr>
                <w:rFonts w:cs="仿宋_GB2312"/>
                <w:color w:val="auto"/>
                <w:sz w:val="24"/>
                <w:highlight w:val="none"/>
              </w:rPr>
            </w:pPr>
          </w:p>
        </w:tc>
        <w:tc>
          <w:tcPr>
            <w:tcW w:w="2003" w:type="dxa"/>
            <w:vAlign w:val="center"/>
          </w:tcPr>
          <w:p w14:paraId="746514E7">
            <w:pPr>
              <w:adjustRightInd w:val="0"/>
              <w:snapToGrid w:val="0"/>
              <w:jc w:val="center"/>
              <w:rPr>
                <w:rFonts w:cs="仿宋_GB2312"/>
                <w:color w:val="auto"/>
                <w:sz w:val="24"/>
                <w:highlight w:val="none"/>
              </w:rPr>
            </w:pPr>
          </w:p>
        </w:tc>
        <w:tc>
          <w:tcPr>
            <w:tcW w:w="1200" w:type="dxa"/>
            <w:vAlign w:val="center"/>
          </w:tcPr>
          <w:p w14:paraId="64DFE5A4">
            <w:pPr>
              <w:adjustRightInd w:val="0"/>
              <w:snapToGrid w:val="0"/>
              <w:jc w:val="center"/>
              <w:rPr>
                <w:rFonts w:cs="仿宋_GB2312"/>
                <w:color w:val="auto"/>
                <w:sz w:val="24"/>
                <w:highlight w:val="none"/>
              </w:rPr>
            </w:pPr>
          </w:p>
        </w:tc>
        <w:tc>
          <w:tcPr>
            <w:tcW w:w="2721" w:type="dxa"/>
            <w:vAlign w:val="center"/>
          </w:tcPr>
          <w:p w14:paraId="7C79AB00">
            <w:pPr>
              <w:adjustRightInd w:val="0"/>
              <w:snapToGrid w:val="0"/>
              <w:jc w:val="center"/>
              <w:rPr>
                <w:rFonts w:cs="仿宋_GB2312"/>
                <w:color w:val="auto"/>
                <w:sz w:val="24"/>
                <w:highlight w:val="none"/>
              </w:rPr>
            </w:pPr>
          </w:p>
        </w:tc>
        <w:tc>
          <w:tcPr>
            <w:tcW w:w="1367" w:type="dxa"/>
            <w:vAlign w:val="center"/>
          </w:tcPr>
          <w:p w14:paraId="62A22AD0">
            <w:pPr>
              <w:adjustRightInd w:val="0"/>
              <w:snapToGrid w:val="0"/>
              <w:jc w:val="center"/>
              <w:rPr>
                <w:rFonts w:cs="仿宋_GB2312"/>
                <w:color w:val="auto"/>
                <w:sz w:val="24"/>
                <w:highlight w:val="none"/>
              </w:rPr>
            </w:pPr>
          </w:p>
        </w:tc>
      </w:tr>
      <w:tr w14:paraId="5FE4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89C4D80">
            <w:pPr>
              <w:adjustRightInd w:val="0"/>
              <w:snapToGrid w:val="0"/>
              <w:jc w:val="center"/>
              <w:rPr>
                <w:rFonts w:cs="仿宋_GB2312"/>
                <w:color w:val="auto"/>
                <w:sz w:val="24"/>
                <w:highlight w:val="none"/>
              </w:rPr>
            </w:pPr>
          </w:p>
        </w:tc>
        <w:tc>
          <w:tcPr>
            <w:tcW w:w="1140" w:type="dxa"/>
            <w:vAlign w:val="center"/>
          </w:tcPr>
          <w:p w14:paraId="6F55DAD3">
            <w:pPr>
              <w:adjustRightInd w:val="0"/>
              <w:snapToGrid w:val="0"/>
              <w:jc w:val="center"/>
              <w:rPr>
                <w:rFonts w:cs="仿宋_GB2312"/>
                <w:color w:val="auto"/>
                <w:sz w:val="24"/>
                <w:highlight w:val="none"/>
              </w:rPr>
            </w:pPr>
          </w:p>
        </w:tc>
        <w:tc>
          <w:tcPr>
            <w:tcW w:w="2003" w:type="dxa"/>
            <w:vAlign w:val="center"/>
          </w:tcPr>
          <w:p w14:paraId="4BB8D1BE">
            <w:pPr>
              <w:adjustRightInd w:val="0"/>
              <w:snapToGrid w:val="0"/>
              <w:jc w:val="center"/>
              <w:rPr>
                <w:rFonts w:cs="仿宋_GB2312"/>
                <w:color w:val="auto"/>
                <w:sz w:val="24"/>
                <w:highlight w:val="none"/>
              </w:rPr>
            </w:pPr>
          </w:p>
        </w:tc>
        <w:tc>
          <w:tcPr>
            <w:tcW w:w="1200" w:type="dxa"/>
            <w:vAlign w:val="center"/>
          </w:tcPr>
          <w:p w14:paraId="0C5355BF">
            <w:pPr>
              <w:adjustRightInd w:val="0"/>
              <w:snapToGrid w:val="0"/>
              <w:jc w:val="center"/>
              <w:rPr>
                <w:rFonts w:cs="仿宋_GB2312"/>
                <w:color w:val="auto"/>
                <w:sz w:val="24"/>
                <w:highlight w:val="none"/>
              </w:rPr>
            </w:pPr>
          </w:p>
        </w:tc>
        <w:tc>
          <w:tcPr>
            <w:tcW w:w="2721" w:type="dxa"/>
            <w:vAlign w:val="center"/>
          </w:tcPr>
          <w:p w14:paraId="740D2D31">
            <w:pPr>
              <w:adjustRightInd w:val="0"/>
              <w:snapToGrid w:val="0"/>
              <w:jc w:val="center"/>
              <w:rPr>
                <w:rFonts w:cs="仿宋_GB2312"/>
                <w:color w:val="auto"/>
                <w:sz w:val="24"/>
                <w:highlight w:val="none"/>
              </w:rPr>
            </w:pPr>
          </w:p>
        </w:tc>
        <w:tc>
          <w:tcPr>
            <w:tcW w:w="1367" w:type="dxa"/>
            <w:vAlign w:val="center"/>
          </w:tcPr>
          <w:p w14:paraId="388BA278">
            <w:pPr>
              <w:adjustRightInd w:val="0"/>
              <w:snapToGrid w:val="0"/>
              <w:jc w:val="center"/>
              <w:rPr>
                <w:rFonts w:cs="仿宋_GB2312"/>
                <w:color w:val="auto"/>
                <w:sz w:val="24"/>
                <w:highlight w:val="none"/>
              </w:rPr>
            </w:pPr>
          </w:p>
        </w:tc>
      </w:tr>
      <w:tr w14:paraId="5ED9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095E4BD">
            <w:pPr>
              <w:adjustRightInd w:val="0"/>
              <w:snapToGrid w:val="0"/>
              <w:jc w:val="center"/>
              <w:rPr>
                <w:rFonts w:cs="仿宋_GB2312"/>
                <w:color w:val="auto"/>
                <w:sz w:val="24"/>
                <w:highlight w:val="none"/>
              </w:rPr>
            </w:pPr>
          </w:p>
        </w:tc>
        <w:tc>
          <w:tcPr>
            <w:tcW w:w="1140" w:type="dxa"/>
            <w:vAlign w:val="center"/>
          </w:tcPr>
          <w:p w14:paraId="71751B2C">
            <w:pPr>
              <w:adjustRightInd w:val="0"/>
              <w:snapToGrid w:val="0"/>
              <w:jc w:val="center"/>
              <w:rPr>
                <w:rFonts w:cs="仿宋_GB2312"/>
                <w:color w:val="auto"/>
                <w:sz w:val="24"/>
                <w:highlight w:val="none"/>
              </w:rPr>
            </w:pPr>
          </w:p>
        </w:tc>
        <w:tc>
          <w:tcPr>
            <w:tcW w:w="2003" w:type="dxa"/>
            <w:vAlign w:val="center"/>
          </w:tcPr>
          <w:p w14:paraId="34A05222">
            <w:pPr>
              <w:adjustRightInd w:val="0"/>
              <w:snapToGrid w:val="0"/>
              <w:jc w:val="center"/>
              <w:rPr>
                <w:rFonts w:cs="仿宋_GB2312"/>
                <w:color w:val="auto"/>
                <w:sz w:val="24"/>
                <w:highlight w:val="none"/>
              </w:rPr>
            </w:pPr>
          </w:p>
        </w:tc>
        <w:tc>
          <w:tcPr>
            <w:tcW w:w="1200" w:type="dxa"/>
            <w:vAlign w:val="center"/>
          </w:tcPr>
          <w:p w14:paraId="057BB29B">
            <w:pPr>
              <w:adjustRightInd w:val="0"/>
              <w:snapToGrid w:val="0"/>
              <w:jc w:val="center"/>
              <w:rPr>
                <w:rFonts w:cs="仿宋_GB2312"/>
                <w:color w:val="auto"/>
                <w:sz w:val="24"/>
                <w:highlight w:val="none"/>
              </w:rPr>
            </w:pPr>
          </w:p>
        </w:tc>
        <w:tc>
          <w:tcPr>
            <w:tcW w:w="2721" w:type="dxa"/>
            <w:vAlign w:val="center"/>
          </w:tcPr>
          <w:p w14:paraId="757F8606">
            <w:pPr>
              <w:adjustRightInd w:val="0"/>
              <w:snapToGrid w:val="0"/>
              <w:jc w:val="center"/>
              <w:rPr>
                <w:rFonts w:cs="仿宋_GB2312"/>
                <w:color w:val="auto"/>
                <w:sz w:val="24"/>
                <w:highlight w:val="none"/>
              </w:rPr>
            </w:pPr>
          </w:p>
        </w:tc>
        <w:tc>
          <w:tcPr>
            <w:tcW w:w="1367" w:type="dxa"/>
            <w:vAlign w:val="center"/>
          </w:tcPr>
          <w:p w14:paraId="38458A58">
            <w:pPr>
              <w:adjustRightInd w:val="0"/>
              <w:snapToGrid w:val="0"/>
              <w:jc w:val="center"/>
              <w:rPr>
                <w:rFonts w:cs="仿宋_GB2312"/>
                <w:color w:val="auto"/>
                <w:sz w:val="24"/>
                <w:highlight w:val="none"/>
              </w:rPr>
            </w:pPr>
          </w:p>
        </w:tc>
      </w:tr>
      <w:tr w14:paraId="0581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947DA57">
            <w:pPr>
              <w:adjustRightInd w:val="0"/>
              <w:snapToGrid w:val="0"/>
              <w:jc w:val="center"/>
              <w:rPr>
                <w:rFonts w:cs="仿宋_GB2312"/>
                <w:color w:val="auto"/>
                <w:sz w:val="24"/>
                <w:highlight w:val="none"/>
              </w:rPr>
            </w:pPr>
          </w:p>
        </w:tc>
        <w:tc>
          <w:tcPr>
            <w:tcW w:w="1140" w:type="dxa"/>
            <w:vAlign w:val="center"/>
          </w:tcPr>
          <w:p w14:paraId="6490203B">
            <w:pPr>
              <w:adjustRightInd w:val="0"/>
              <w:snapToGrid w:val="0"/>
              <w:jc w:val="center"/>
              <w:rPr>
                <w:rFonts w:cs="仿宋_GB2312"/>
                <w:color w:val="auto"/>
                <w:sz w:val="24"/>
                <w:highlight w:val="none"/>
              </w:rPr>
            </w:pPr>
          </w:p>
        </w:tc>
        <w:tc>
          <w:tcPr>
            <w:tcW w:w="2003" w:type="dxa"/>
            <w:vAlign w:val="center"/>
          </w:tcPr>
          <w:p w14:paraId="08317577">
            <w:pPr>
              <w:adjustRightInd w:val="0"/>
              <w:snapToGrid w:val="0"/>
              <w:jc w:val="center"/>
              <w:rPr>
                <w:rFonts w:cs="仿宋_GB2312"/>
                <w:color w:val="auto"/>
                <w:sz w:val="24"/>
                <w:highlight w:val="none"/>
              </w:rPr>
            </w:pPr>
          </w:p>
        </w:tc>
        <w:tc>
          <w:tcPr>
            <w:tcW w:w="1200" w:type="dxa"/>
            <w:vAlign w:val="center"/>
          </w:tcPr>
          <w:p w14:paraId="6C741DA2">
            <w:pPr>
              <w:adjustRightInd w:val="0"/>
              <w:snapToGrid w:val="0"/>
              <w:jc w:val="center"/>
              <w:rPr>
                <w:rFonts w:cs="仿宋_GB2312"/>
                <w:color w:val="auto"/>
                <w:sz w:val="24"/>
                <w:highlight w:val="none"/>
              </w:rPr>
            </w:pPr>
          </w:p>
        </w:tc>
        <w:tc>
          <w:tcPr>
            <w:tcW w:w="2721" w:type="dxa"/>
            <w:vAlign w:val="center"/>
          </w:tcPr>
          <w:p w14:paraId="3DA1D407">
            <w:pPr>
              <w:adjustRightInd w:val="0"/>
              <w:snapToGrid w:val="0"/>
              <w:jc w:val="center"/>
              <w:rPr>
                <w:rFonts w:cs="仿宋_GB2312"/>
                <w:color w:val="auto"/>
                <w:sz w:val="24"/>
                <w:highlight w:val="none"/>
              </w:rPr>
            </w:pPr>
          </w:p>
        </w:tc>
        <w:tc>
          <w:tcPr>
            <w:tcW w:w="1367" w:type="dxa"/>
            <w:vAlign w:val="center"/>
          </w:tcPr>
          <w:p w14:paraId="044FD3E8">
            <w:pPr>
              <w:adjustRightInd w:val="0"/>
              <w:snapToGrid w:val="0"/>
              <w:jc w:val="center"/>
              <w:rPr>
                <w:rFonts w:cs="仿宋_GB2312"/>
                <w:color w:val="auto"/>
                <w:sz w:val="24"/>
                <w:highlight w:val="none"/>
              </w:rPr>
            </w:pPr>
          </w:p>
        </w:tc>
      </w:tr>
      <w:tr w14:paraId="5F44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737D69F">
            <w:pPr>
              <w:adjustRightInd w:val="0"/>
              <w:snapToGrid w:val="0"/>
              <w:jc w:val="center"/>
              <w:rPr>
                <w:rFonts w:cs="仿宋_GB2312"/>
                <w:color w:val="auto"/>
                <w:sz w:val="24"/>
                <w:highlight w:val="none"/>
              </w:rPr>
            </w:pPr>
          </w:p>
        </w:tc>
        <w:tc>
          <w:tcPr>
            <w:tcW w:w="1140" w:type="dxa"/>
            <w:vAlign w:val="center"/>
          </w:tcPr>
          <w:p w14:paraId="443162AF">
            <w:pPr>
              <w:adjustRightInd w:val="0"/>
              <w:snapToGrid w:val="0"/>
              <w:jc w:val="center"/>
              <w:rPr>
                <w:rFonts w:cs="仿宋_GB2312"/>
                <w:color w:val="auto"/>
                <w:sz w:val="24"/>
                <w:highlight w:val="none"/>
              </w:rPr>
            </w:pPr>
          </w:p>
        </w:tc>
        <w:tc>
          <w:tcPr>
            <w:tcW w:w="2003" w:type="dxa"/>
            <w:vAlign w:val="center"/>
          </w:tcPr>
          <w:p w14:paraId="35A3B402">
            <w:pPr>
              <w:adjustRightInd w:val="0"/>
              <w:snapToGrid w:val="0"/>
              <w:jc w:val="center"/>
              <w:rPr>
                <w:rFonts w:cs="仿宋_GB2312"/>
                <w:color w:val="auto"/>
                <w:sz w:val="24"/>
                <w:highlight w:val="none"/>
              </w:rPr>
            </w:pPr>
          </w:p>
        </w:tc>
        <w:tc>
          <w:tcPr>
            <w:tcW w:w="1200" w:type="dxa"/>
            <w:vAlign w:val="center"/>
          </w:tcPr>
          <w:p w14:paraId="643D81CC">
            <w:pPr>
              <w:adjustRightInd w:val="0"/>
              <w:snapToGrid w:val="0"/>
              <w:jc w:val="center"/>
              <w:rPr>
                <w:rFonts w:cs="仿宋_GB2312"/>
                <w:color w:val="auto"/>
                <w:sz w:val="24"/>
                <w:highlight w:val="none"/>
              </w:rPr>
            </w:pPr>
          </w:p>
        </w:tc>
        <w:tc>
          <w:tcPr>
            <w:tcW w:w="2721" w:type="dxa"/>
            <w:vAlign w:val="center"/>
          </w:tcPr>
          <w:p w14:paraId="26A95D7B">
            <w:pPr>
              <w:adjustRightInd w:val="0"/>
              <w:snapToGrid w:val="0"/>
              <w:jc w:val="center"/>
              <w:rPr>
                <w:rFonts w:cs="仿宋_GB2312"/>
                <w:color w:val="auto"/>
                <w:sz w:val="24"/>
                <w:highlight w:val="none"/>
              </w:rPr>
            </w:pPr>
          </w:p>
        </w:tc>
        <w:tc>
          <w:tcPr>
            <w:tcW w:w="1367" w:type="dxa"/>
            <w:vAlign w:val="center"/>
          </w:tcPr>
          <w:p w14:paraId="4A740083">
            <w:pPr>
              <w:adjustRightInd w:val="0"/>
              <w:snapToGrid w:val="0"/>
              <w:jc w:val="center"/>
              <w:rPr>
                <w:rFonts w:cs="仿宋_GB2312"/>
                <w:color w:val="auto"/>
                <w:sz w:val="24"/>
                <w:highlight w:val="none"/>
              </w:rPr>
            </w:pPr>
          </w:p>
        </w:tc>
      </w:tr>
    </w:tbl>
    <w:p w14:paraId="647057E7">
      <w:pPr>
        <w:wordWrap w:val="0"/>
        <w:spacing w:line="400" w:lineRule="exact"/>
        <w:rPr>
          <w:rFonts w:cs="仿宋_GB2312"/>
          <w:color w:val="auto"/>
          <w:kern w:val="0"/>
          <w:sz w:val="24"/>
          <w:highlight w:val="none"/>
        </w:rPr>
      </w:pPr>
    </w:p>
    <w:p w14:paraId="44E92530">
      <w:pPr>
        <w:rPr>
          <w:rFonts w:cs="仿宋_GB2312"/>
          <w:color w:val="auto"/>
          <w:sz w:val="24"/>
          <w:highlight w:val="none"/>
        </w:rPr>
      </w:pPr>
    </w:p>
    <w:p w14:paraId="3F448E56">
      <w:pPr>
        <w:adjustRightInd w:val="0"/>
        <w:snapToGrid w:val="0"/>
        <w:spacing w:line="360" w:lineRule="auto"/>
        <w:jc w:val="left"/>
        <w:rPr>
          <w:rFonts w:cs="仿宋_GB2312"/>
          <w:color w:val="auto"/>
          <w:sz w:val="24"/>
          <w:highlight w:val="none"/>
        </w:rPr>
      </w:pPr>
      <w:r>
        <w:rPr>
          <w:rFonts w:hint="eastAsia" w:cs="仿宋_GB2312"/>
          <w:color w:val="auto"/>
          <w:sz w:val="24"/>
          <w:highlight w:val="none"/>
        </w:rPr>
        <w:t>注：1、请</w:t>
      </w:r>
      <w:r>
        <w:rPr>
          <w:rFonts w:hint="eastAsia" w:cs="仿宋_GB2312"/>
          <w:color w:val="auto"/>
          <w:sz w:val="24"/>
          <w:highlight w:val="none"/>
          <w:lang w:val="en-GB"/>
        </w:rPr>
        <w:t>投标人在“是否响应”栏内根据响应情况填写“满足或负偏离或正偏离”，负偏离或正偏离请在“偏离说明”栏内扼要说明偏离情况。</w:t>
      </w:r>
    </w:p>
    <w:p w14:paraId="4415424C">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2、若投标人未提供或未填写本表，均视作完全响应招标文件要求。</w:t>
      </w:r>
    </w:p>
    <w:p w14:paraId="7E9D3B44">
      <w:pPr>
        <w:adjustRightInd w:val="0"/>
        <w:snapToGrid w:val="0"/>
        <w:spacing w:line="360" w:lineRule="auto"/>
        <w:ind w:firstLine="480" w:firstLineChars="200"/>
        <w:rPr>
          <w:rFonts w:cs="仿宋_GB2312"/>
          <w:color w:val="auto"/>
          <w:sz w:val="24"/>
          <w:highlight w:val="none"/>
        </w:rPr>
      </w:pPr>
    </w:p>
    <w:p w14:paraId="70F7A1DA">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投标人（盖公章）：</w:t>
      </w:r>
    </w:p>
    <w:p w14:paraId="670915AA">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法定代表人（负责人）或其委托代理人（签字或盖章）：</w:t>
      </w:r>
    </w:p>
    <w:p w14:paraId="62910322">
      <w:pPr>
        <w:pStyle w:val="50"/>
        <w:adjustRightInd w:val="0"/>
        <w:snapToGrid w:val="0"/>
        <w:spacing w:line="360" w:lineRule="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snapToGrid w:val="0"/>
          <w:color w:val="auto"/>
          <w:sz w:val="24"/>
          <w:szCs w:val="24"/>
          <w:highlight w:val="none"/>
        </w:rPr>
        <w:t>日期：</w:t>
      </w:r>
      <w:r>
        <w:rPr>
          <w:rFonts w:hint="eastAsia" w:ascii="Times New Roman" w:hAnsi="Times New Roman" w:eastAsia="仿宋_GB2312" w:cs="仿宋_GB2312"/>
          <w:color w:val="auto"/>
          <w:sz w:val="24"/>
          <w:szCs w:val="24"/>
          <w:highlight w:val="none"/>
        </w:rPr>
        <w:t xml:space="preserve">      年    月    日</w:t>
      </w:r>
    </w:p>
    <w:p w14:paraId="70320A29">
      <w:pPr>
        <w:pStyle w:val="50"/>
        <w:adjustRightInd w:val="0"/>
        <w:snapToGrid w:val="0"/>
        <w:spacing w:line="360" w:lineRule="auto"/>
        <w:rPr>
          <w:rFonts w:ascii="Times New Roman" w:hAnsi="Times New Roman" w:eastAsia="仿宋_GB2312" w:cs="仿宋_GB2312"/>
          <w:color w:val="auto"/>
          <w:sz w:val="24"/>
          <w:szCs w:val="24"/>
          <w:highlight w:val="none"/>
        </w:rPr>
      </w:pPr>
    </w:p>
    <w:p w14:paraId="4ABCCCCB">
      <w:pPr>
        <w:pStyle w:val="32"/>
        <w:outlineLvl w:val="9"/>
        <w:rPr>
          <w:rFonts w:eastAsia="仿宋_GB2312" w:cs="仿宋_GB2312"/>
          <w:color w:val="auto"/>
          <w:sz w:val="24"/>
          <w:szCs w:val="24"/>
          <w:highlight w:val="none"/>
        </w:rPr>
      </w:pPr>
      <w:r>
        <w:rPr>
          <w:rFonts w:hint="eastAsia" w:eastAsia="仿宋_GB2312" w:cs="仿宋_GB2312"/>
          <w:color w:val="auto"/>
          <w:sz w:val="24"/>
          <w:szCs w:val="24"/>
          <w:highlight w:val="none"/>
        </w:rPr>
        <w:br w:type="page"/>
      </w:r>
    </w:p>
    <w:p w14:paraId="48095200">
      <w:pPr>
        <w:pStyle w:val="5"/>
        <w:jc w:val="center"/>
        <w:rPr>
          <w:rFonts w:ascii="Times New Roman" w:hAnsi="Times New Roman" w:eastAsia="仿宋_GB2312" w:cs="仿宋_GB2312"/>
          <w:bCs w:val="0"/>
          <w:color w:val="auto"/>
          <w:sz w:val="24"/>
          <w:szCs w:val="24"/>
          <w:highlight w:val="none"/>
          <w:lang w:val="zh-CN"/>
        </w:rPr>
      </w:pPr>
      <w:r>
        <w:rPr>
          <w:rFonts w:hint="eastAsia" w:ascii="Times New Roman" w:hAnsi="Times New Roman" w:eastAsia="仿宋_GB2312" w:cs="仿宋_GB2312"/>
          <w:bCs w:val="0"/>
          <w:color w:val="auto"/>
          <w:sz w:val="24"/>
          <w:szCs w:val="24"/>
          <w:highlight w:val="none"/>
        </w:rPr>
        <w:t>六、</w:t>
      </w:r>
      <w:r>
        <w:rPr>
          <w:rFonts w:hint="eastAsia" w:ascii="Times New Roman" w:hAnsi="Times New Roman" w:eastAsia="仿宋_GB2312" w:cs="仿宋_GB2312"/>
          <w:bCs w:val="0"/>
          <w:color w:val="auto"/>
          <w:sz w:val="24"/>
          <w:szCs w:val="24"/>
          <w:highlight w:val="none"/>
          <w:lang w:val="zh-CN"/>
        </w:rPr>
        <w:t>优惠条件及特殊承诺</w:t>
      </w:r>
    </w:p>
    <w:p w14:paraId="289BA411">
      <w:pPr>
        <w:spacing w:line="360" w:lineRule="auto"/>
        <w:jc w:val="center"/>
        <w:rPr>
          <w:rFonts w:cs="仿宋_GB2312"/>
          <w:color w:val="auto"/>
          <w:sz w:val="24"/>
          <w:highlight w:val="none"/>
        </w:rPr>
      </w:pPr>
      <w:r>
        <w:rPr>
          <w:rFonts w:hint="eastAsia" w:cs="仿宋_GB2312"/>
          <w:color w:val="auto"/>
          <w:sz w:val="24"/>
          <w:highlight w:val="none"/>
        </w:rPr>
        <w:t>（由投标人根据招标需求自行编制）</w:t>
      </w:r>
    </w:p>
    <w:p w14:paraId="75F1E063">
      <w:pPr>
        <w:spacing w:line="360" w:lineRule="auto"/>
        <w:jc w:val="center"/>
        <w:rPr>
          <w:rFonts w:cs="仿宋_GB2312"/>
          <w:color w:val="auto"/>
          <w:sz w:val="24"/>
          <w:highlight w:val="none"/>
        </w:rPr>
      </w:pPr>
    </w:p>
    <w:p w14:paraId="5B3A295A">
      <w:pPr>
        <w:pStyle w:val="12"/>
        <w:spacing w:line="360" w:lineRule="auto"/>
        <w:rPr>
          <w:rFonts w:ascii="Times New Roman" w:hAnsi="Times New Roman" w:eastAsia="仿宋_GB2312" w:cs="仿宋_GB2312"/>
          <w:color w:val="auto"/>
          <w:sz w:val="24"/>
          <w:szCs w:val="24"/>
          <w:highlight w:val="none"/>
        </w:rPr>
      </w:pPr>
    </w:p>
    <w:p w14:paraId="61515768">
      <w:pPr>
        <w:pStyle w:val="12"/>
        <w:spacing w:line="360" w:lineRule="auto"/>
        <w:rPr>
          <w:rFonts w:ascii="Times New Roman" w:hAnsi="Times New Roman" w:eastAsia="仿宋_GB2312" w:cs="仿宋_GB2312"/>
          <w:color w:val="auto"/>
          <w:sz w:val="24"/>
          <w:szCs w:val="24"/>
          <w:highlight w:val="none"/>
        </w:rPr>
      </w:pPr>
    </w:p>
    <w:p w14:paraId="08931856">
      <w:pPr>
        <w:pStyle w:val="12"/>
        <w:spacing w:line="360" w:lineRule="auto"/>
        <w:rPr>
          <w:rFonts w:ascii="Times New Roman" w:hAnsi="Times New Roman" w:eastAsia="仿宋_GB2312" w:cs="仿宋_GB2312"/>
          <w:color w:val="auto"/>
          <w:sz w:val="24"/>
          <w:szCs w:val="24"/>
          <w:highlight w:val="none"/>
        </w:rPr>
      </w:pPr>
    </w:p>
    <w:p w14:paraId="0E194FC5">
      <w:pPr>
        <w:pStyle w:val="12"/>
        <w:spacing w:line="360" w:lineRule="auto"/>
        <w:rPr>
          <w:rFonts w:ascii="Times New Roman" w:hAnsi="Times New Roman" w:eastAsia="仿宋_GB2312" w:cs="仿宋_GB2312"/>
          <w:color w:val="auto"/>
          <w:sz w:val="24"/>
          <w:szCs w:val="24"/>
          <w:highlight w:val="none"/>
        </w:rPr>
      </w:pPr>
    </w:p>
    <w:p w14:paraId="7C15F8B4">
      <w:pPr>
        <w:pStyle w:val="12"/>
        <w:spacing w:line="360" w:lineRule="auto"/>
        <w:rPr>
          <w:rFonts w:ascii="Times New Roman" w:hAnsi="Times New Roman" w:eastAsia="仿宋_GB2312" w:cs="仿宋_GB2312"/>
          <w:color w:val="auto"/>
          <w:sz w:val="24"/>
          <w:szCs w:val="24"/>
          <w:highlight w:val="none"/>
        </w:rPr>
      </w:pPr>
    </w:p>
    <w:p w14:paraId="71F2FDCF">
      <w:pPr>
        <w:pStyle w:val="12"/>
        <w:spacing w:line="360" w:lineRule="auto"/>
        <w:rPr>
          <w:rFonts w:ascii="Times New Roman" w:hAnsi="Times New Roman" w:eastAsia="仿宋_GB2312" w:cs="仿宋_GB2312"/>
          <w:color w:val="auto"/>
          <w:sz w:val="24"/>
          <w:szCs w:val="24"/>
          <w:highlight w:val="none"/>
        </w:rPr>
      </w:pPr>
    </w:p>
    <w:p w14:paraId="11FFE81C">
      <w:pPr>
        <w:pStyle w:val="12"/>
        <w:spacing w:line="360" w:lineRule="auto"/>
        <w:rPr>
          <w:rFonts w:ascii="Times New Roman" w:hAnsi="Times New Roman" w:eastAsia="仿宋_GB2312" w:cs="仿宋_GB2312"/>
          <w:color w:val="auto"/>
          <w:sz w:val="24"/>
          <w:szCs w:val="24"/>
          <w:highlight w:val="none"/>
        </w:rPr>
      </w:pPr>
    </w:p>
    <w:p w14:paraId="21784208">
      <w:pPr>
        <w:pStyle w:val="12"/>
        <w:spacing w:line="360" w:lineRule="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投标人（盖公章）：</w:t>
      </w:r>
    </w:p>
    <w:p w14:paraId="1D89E7CD">
      <w:pPr>
        <w:pStyle w:val="12"/>
        <w:spacing w:line="360" w:lineRule="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法定代表人</w:t>
      </w:r>
      <w:r>
        <w:rPr>
          <w:rFonts w:hint="eastAsia" w:ascii="Times New Roman" w:hAnsi="Times New Roman" w:eastAsia="仿宋_GB2312" w:cs="仿宋_GB2312"/>
          <w:snapToGrid w:val="0"/>
          <w:color w:val="auto"/>
          <w:sz w:val="24"/>
          <w:szCs w:val="24"/>
          <w:highlight w:val="none"/>
        </w:rPr>
        <w:t>（负责人）</w:t>
      </w:r>
      <w:r>
        <w:rPr>
          <w:rFonts w:hint="eastAsia" w:ascii="Times New Roman" w:hAnsi="Times New Roman" w:eastAsia="仿宋_GB2312" w:cs="仿宋_GB2312"/>
          <w:color w:val="auto"/>
          <w:sz w:val="24"/>
          <w:szCs w:val="24"/>
          <w:highlight w:val="none"/>
        </w:rPr>
        <w:t>或其委托代理人（签字或盖章）：</w:t>
      </w:r>
    </w:p>
    <w:p w14:paraId="4E8E7478">
      <w:pPr>
        <w:pStyle w:val="51"/>
        <w:adjustRightInd w:val="0"/>
        <w:snapToGrid w:val="0"/>
        <w:spacing w:line="360" w:lineRule="auto"/>
        <w:rPr>
          <w:rFonts w:ascii="Times New Roman" w:hAnsi="Times New Roman" w:eastAsia="仿宋_GB2312" w:cs="仿宋_GB2312"/>
          <w:color w:val="auto"/>
          <w:sz w:val="24"/>
          <w:highlight w:val="none"/>
        </w:rPr>
      </w:pPr>
      <w:r>
        <w:rPr>
          <w:rFonts w:hint="eastAsia" w:ascii="Times New Roman" w:hAnsi="Times New Roman" w:eastAsia="仿宋_GB2312" w:cs="仿宋_GB2312"/>
          <w:snapToGrid w:val="0"/>
          <w:color w:val="auto"/>
          <w:sz w:val="24"/>
          <w:highlight w:val="none"/>
        </w:rPr>
        <w:t>日期：</w:t>
      </w:r>
      <w:r>
        <w:rPr>
          <w:rFonts w:hint="eastAsia" w:ascii="Times New Roman" w:hAnsi="Times New Roman" w:eastAsia="仿宋_GB2312" w:cs="仿宋_GB2312"/>
          <w:color w:val="auto"/>
          <w:sz w:val="24"/>
          <w:highlight w:val="none"/>
        </w:rPr>
        <w:t>年    月    日</w:t>
      </w:r>
    </w:p>
    <w:p w14:paraId="4A1706FF">
      <w:pPr>
        <w:rPr>
          <w:rFonts w:cs="仿宋_GB2312"/>
          <w:b/>
          <w:bCs/>
          <w:color w:val="auto"/>
          <w:sz w:val="24"/>
          <w:highlight w:val="none"/>
        </w:rPr>
      </w:pPr>
      <w:r>
        <w:rPr>
          <w:rFonts w:hint="eastAsia" w:cs="仿宋_GB2312"/>
          <w:b/>
          <w:bCs/>
          <w:color w:val="auto"/>
          <w:sz w:val="24"/>
          <w:highlight w:val="none"/>
        </w:rPr>
        <w:br w:type="page"/>
      </w:r>
    </w:p>
    <w:p w14:paraId="70743196">
      <w:pPr>
        <w:pStyle w:val="5"/>
        <w:jc w:val="center"/>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第三部分、资信文件</w:t>
      </w:r>
      <w:bookmarkEnd w:id="135"/>
      <w:bookmarkEnd w:id="136"/>
    </w:p>
    <w:p w14:paraId="349F363D">
      <w:pPr>
        <w:pStyle w:val="5"/>
        <w:jc w:val="center"/>
        <w:rPr>
          <w:rFonts w:ascii="Times New Roman" w:hAnsi="Times New Roman" w:eastAsia="仿宋_GB2312" w:cs="仿宋_GB2312"/>
          <w:color w:val="auto"/>
          <w:sz w:val="24"/>
          <w:szCs w:val="24"/>
          <w:highlight w:val="none"/>
        </w:rPr>
      </w:pPr>
      <w:bookmarkStart w:id="138" w:name="_Toc31736"/>
      <w:r>
        <w:rPr>
          <w:rFonts w:hint="eastAsia" w:ascii="Times New Roman" w:hAnsi="Times New Roman" w:eastAsia="仿宋_GB2312" w:cs="仿宋_GB2312"/>
          <w:color w:val="auto"/>
          <w:sz w:val="24"/>
          <w:szCs w:val="24"/>
          <w:highlight w:val="none"/>
        </w:rPr>
        <w:t>一、投标人基本情况表</w:t>
      </w:r>
      <w:bookmarkEnd w:id="138"/>
    </w:p>
    <w:tbl>
      <w:tblPr>
        <w:tblStyle w:val="2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191A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5AF0879E">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投标人名称</w:t>
            </w:r>
          </w:p>
        </w:tc>
        <w:tc>
          <w:tcPr>
            <w:tcW w:w="7370" w:type="dxa"/>
            <w:gridSpan w:val="7"/>
            <w:vAlign w:val="center"/>
          </w:tcPr>
          <w:p w14:paraId="588FA0D9">
            <w:pPr>
              <w:pStyle w:val="50"/>
              <w:rPr>
                <w:rFonts w:ascii="Times New Roman" w:hAnsi="Times New Roman" w:eastAsia="仿宋_GB2312" w:cs="仿宋_GB2312"/>
                <w:color w:val="auto"/>
                <w:sz w:val="24"/>
                <w:szCs w:val="24"/>
                <w:highlight w:val="none"/>
              </w:rPr>
            </w:pPr>
          </w:p>
        </w:tc>
      </w:tr>
      <w:tr w14:paraId="22A2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29AB1073">
            <w:pPr>
              <w:pStyle w:val="50"/>
              <w:rPr>
                <w:rFonts w:ascii="Times New Roman" w:hAnsi="Times New Roman" w:eastAsia="仿宋_GB2312" w:cs="仿宋_GB2312"/>
                <w:b/>
                <w:color w:val="auto"/>
                <w:sz w:val="24"/>
                <w:szCs w:val="24"/>
                <w:highlight w:val="none"/>
              </w:rPr>
            </w:pPr>
            <w:r>
              <w:rPr>
                <w:rFonts w:hint="eastAsia" w:ascii="Times New Roman" w:hAnsi="Times New Roman" w:eastAsia="仿宋_GB2312" w:cs="仿宋_GB2312"/>
                <w:b/>
                <w:color w:val="auto"/>
                <w:sz w:val="24"/>
                <w:szCs w:val="24"/>
                <w:highlight w:val="none"/>
              </w:rPr>
              <w:t>营业执照（事业单位法人证书等）</w:t>
            </w:r>
          </w:p>
        </w:tc>
      </w:tr>
      <w:tr w14:paraId="0CB1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5C054A74">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统一社会信用代码</w:t>
            </w:r>
          </w:p>
        </w:tc>
        <w:tc>
          <w:tcPr>
            <w:tcW w:w="2697" w:type="dxa"/>
            <w:gridSpan w:val="3"/>
            <w:vAlign w:val="center"/>
          </w:tcPr>
          <w:p w14:paraId="52061A3C">
            <w:pPr>
              <w:pStyle w:val="50"/>
              <w:rPr>
                <w:rFonts w:ascii="Times New Roman" w:hAnsi="Times New Roman" w:eastAsia="仿宋_GB2312" w:cs="仿宋_GB2312"/>
                <w:color w:val="auto"/>
                <w:sz w:val="24"/>
                <w:szCs w:val="24"/>
                <w:highlight w:val="none"/>
              </w:rPr>
            </w:pPr>
          </w:p>
        </w:tc>
        <w:tc>
          <w:tcPr>
            <w:tcW w:w="1803" w:type="dxa"/>
            <w:gridSpan w:val="2"/>
            <w:vAlign w:val="center"/>
          </w:tcPr>
          <w:p w14:paraId="4F293E52">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注册资本</w:t>
            </w:r>
          </w:p>
        </w:tc>
        <w:tc>
          <w:tcPr>
            <w:tcW w:w="2870" w:type="dxa"/>
            <w:gridSpan w:val="2"/>
            <w:vAlign w:val="center"/>
          </w:tcPr>
          <w:p w14:paraId="7C48B769">
            <w:pPr>
              <w:pStyle w:val="50"/>
              <w:rPr>
                <w:rFonts w:ascii="Times New Roman" w:hAnsi="Times New Roman" w:eastAsia="仿宋_GB2312" w:cs="仿宋_GB2312"/>
                <w:color w:val="auto"/>
                <w:sz w:val="24"/>
                <w:szCs w:val="24"/>
                <w:highlight w:val="none"/>
              </w:rPr>
            </w:pPr>
          </w:p>
        </w:tc>
      </w:tr>
      <w:tr w14:paraId="498F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06D8B552">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发照机关</w:t>
            </w:r>
          </w:p>
        </w:tc>
        <w:tc>
          <w:tcPr>
            <w:tcW w:w="2697" w:type="dxa"/>
            <w:gridSpan w:val="3"/>
            <w:vAlign w:val="center"/>
          </w:tcPr>
          <w:p w14:paraId="42B0B8CC">
            <w:pPr>
              <w:pStyle w:val="50"/>
              <w:rPr>
                <w:rFonts w:ascii="Times New Roman" w:hAnsi="Times New Roman" w:eastAsia="仿宋_GB2312" w:cs="仿宋_GB2312"/>
                <w:color w:val="auto"/>
                <w:sz w:val="24"/>
                <w:szCs w:val="24"/>
                <w:highlight w:val="none"/>
              </w:rPr>
            </w:pPr>
          </w:p>
        </w:tc>
        <w:tc>
          <w:tcPr>
            <w:tcW w:w="1803" w:type="dxa"/>
            <w:gridSpan w:val="2"/>
            <w:vAlign w:val="center"/>
          </w:tcPr>
          <w:p w14:paraId="10AE31D2">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注册地址</w:t>
            </w:r>
          </w:p>
        </w:tc>
        <w:tc>
          <w:tcPr>
            <w:tcW w:w="2870" w:type="dxa"/>
            <w:gridSpan w:val="2"/>
            <w:vAlign w:val="center"/>
          </w:tcPr>
          <w:p w14:paraId="05B9F240">
            <w:pPr>
              <w:pStyle w:val="50"/>
              <w:rPr>
                <w:rFonts w:ascii="Times New Roman" w:hAnsi="Times New Roman" w:eastAsia="仿宋_GB2312" w:cs="仿宋_GB2312"/>
                <w:color w:val="auto"/>
                <w:sz w:val="24"/>
                <w:szCs w:val="24"/>
                <w:highlight w:val="none"/>
              </w:rPr>
            </w:pPr>
          </w:p>
        </w:tc>
      </w:tr>
      <w:tr w14:paraId="6EE2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5CF9648">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成立时间</w:t>
            </w:r>
          </w:p>
        </w:tc>
        <w:tc>
          <w:tcPr>
            <w:tcW w:w="2697" w:type="dxa"/>
            <w:gridSpan w:val="3"/>
            <w:vAlign w:val="center"/>
          </w:tcPr>
          <w:p w14:paraId="57C4F5C9">
            <w:pPr>
              <w:pStyle w:val="50"/>
              <w:rPr>
                <w:rFonts w:ascii="Times New Roman" w:hAnsi="Times New Roman" w:eastAsia="仿宋_GB2312" w:cs="仿宋_GB2312"/>
                <w:color w:val="auto"/>
                <w:sz w:val="24"/>
                <w:szCs w:val="24"/>
                <w:highlight w:val="none"/>
              </w:rPr>
            </w:pPr>
          </w:p>
        </w:tc>
        <w:tc>
          <w:tcPr>
            <w:tcW w:w="1803" w:type="dxa"/>
            <w:gridSpan w:val="2"/>
            <w:vAlign w:val="center"/>
          </w:tcPr>
          <w:p w14:paraId="3A16119D">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单位性质</w:t>
            </w:r>
          </w:p>
        </w:tc>
        <w:tc>
          <w:tcPr>
            <w:tcW w:w="2870" w:type="dxa"/>
            <w:gridSpan w:val="2"/>
            <w:vAlign w:val="center"/>
          </w:tcPr>
          <w:p w14:paraId="7BAE7598">
            <w:pPr>
              <w:pStyle w:val="50"/>
              <w:rPr>
                <w:rFonts w:ascii="Times New Roman" w:hAnsi="Times New Roman" w:eastAsia="仿宋_GB2312" w:cs="仿宋_GB2312"/>
                <w:color w:val="auto"/>
                <w:sz w:val="24"/>
                <w:szCs w:val="24"/>
                <w:highlight w:val="none"/>
              </w:rPr>
            </w:pPr>
          </w:p>
        </w:tc>
      </w:tr>
      <w:tr w14:paraId="79EA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79A24D52">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经营范围</w:t>
            </w:r>
          </w:p>
        </w:tc>
        <w:tc>
          <w:tcPr>
            <w:tcW w:w="7370" w:type="dxa"/>
            <w:gridSpan w:val="7"/>
            <w:vAlign w:val="center"/>
          </w:tcPr>
          <w:p w14:paraId="627D3F18">
            <w:pPr>
              <w:pStyle w:val="50"/>
              <w:rPr>
                <w:rFonts w:ascii="Times New Roman" w:hAnsi="Times New Roman" w:eastAsia="仿宋_GB2312" w:cs="仿宋_GB2312"/>
                <w:color w:val="auto"/>
                <w:sz w:val="24"/>
                <w:szCs w:val="24"/>
                <w:highlight w:val="none"/>
              </w:rPr>
            </w:pPr>
          </w:p>
        </w:tc>
      </w:tr>
      <w:tr w14:paraId="0116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2FDB09DC">
            <w:pPr>
              <w:pStyle w:val="50"/>
              <w:rPr>
                <w:rFonts w:ascii="Times New Roman" w:hAnsi="Times New Roman" w:eastAsia="仿宋_GB2312" w:cs="仿宋_GB2312"/>
                <w:b/>
                <w:color w:val="auto"/>
                <w:sz w:val="24"/>
                <w:szCs w:val="24"/>
                <w:highlight w:val="none"/>
              </w:rPr>
            </w:pPr>
            <w:r>
              <w:rPr>
                <w:rFonts w:hint="eastAsia" w:ascii="Times New Roman" w:hAnsi="Times New Roman" w:eastAsia="仿宋_GB2312" w:cs="仿宋_GB2312"/>
                <w:b/>
                <w:color w:val="auto"/>
                <w:sz w:val="24"/>
                <w:szCs w:val="24"/>
                <w:highlight w:val="none"/>
              </w:rPr>
              <w:t>单位资质</w:t>
            </w:r>
          </w:p>
        </w:tc>
      </w:tr>
      <w:tr w14:paraId="6CB9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7F282D2">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单位资质等级</w:t>
            </w:r>
          </w:p>
        </w:tc>
        <w:tc>
          <w:tcPr>
            <w:tcW w:w="2697" w:type="dxa"/>
            <w:gridSpan w:val="3"/>
            <w:vAlign w:val="center"/>
          </w:tcPr>
          <w:p w14:paraId="3D91962C">
            <w:pPr>
              <w:pStyle w:val="50"/>
              <w:rPr>
                <w:rFonts w:ascii="Times New Roman" w:hAnsi="Times New Roman" w:eastAsia="仿宋_GB2312" w:cs="仿宋_GB2312"/>
                <w:color w:val="auto"/>
                <w:sz w:val="24"/>
                <w:szCs w:val="24"/>
                <w:highlight w:val="none"/>
              </w:rPr>
            </w:pPr>
          </w:p>
        </w:tc>
        <w:tc>
          <w:tcPr>
            <w:tcW w:w="1803" w:type="dxa"/>
            <w:gridSpan w:val="2"/>
            <w:vAlign w:val="center"/>
          </w:tcPr>
          <w:p w14:paraId="153AD9CC">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证书编号</w:t>
            </w:r>
          </w:p>
        </w:tc>
        <w:tc>
          <w:tcPr>
            <w:tcW w:w="2870" w:type="dxa"/>
            <w:gridSpan w:val="2"/>
            <w:vAlign w:val="center"/>
          </w:tcPr>
          <w:p w14:paraId="0DC22959">
            <w:pPr>
              <w:pStyle w:val="50"/>
              <w:rPr>
                <w:rFonts w:ascii="Times New Roman" w:hAnsi="Times New Roman" w:eastAsia="仿宋_GB2312" w:cs="仿宋_GB2312"/>
                <w:color w:val="auto"/>
                <w:sz w:val="24"/>
                <w:szCs w:val="24"/>
                <w:highlight w:val="none"/>
              </w:rPr>
            </w:pPr>
          </w:p>
        </w:tc>
      </w:tr>
      <w:tr w14:paraId="4EDF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0F5A71C">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发证机关</w:t>
            </w:r>
          </w:p>
        </w:tc>
        <w:tc>
          <w:tcPr>
            <w:tcW w:w="2697" w:type="dxa"/>
            <w:gridSpan w:val="3"/>
            <w:vAlign w:val="center"/>
          </w:tcPr>
          <w:p w14:paraId="3B18A8A0">
            <w:pPr>
              <w:pStyle w:val="50"/>
              <w:rPr>
                <w:rFonts w:ascii="Times New Roman" w:hAnsi="Times New Roman" w:eastAsia="仿宋_GB2312" w:cs="仿宋_GB2312"/>
                <w:color w:val="auto"/>
                <w:sz w:val="24"/>
                <w:szCs w:val="24"/>
                <w:highlight w:val="none"/>
              </w:rPr>
            </w:pPr>
          </w:p>
        </w:tc>
        <w:tc>
          <w:tcPr>
            <w:tcW w:w="1803" w:type="dxa"/>
            <w:gridSpan w:val="2"/>
            <w:vAlign w:val="center"/>
          </w:tcPr>
          <w:p w14:paraId="3C09D898">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业务范围</w:t>
            </w:r>
          </w:p>
        </w:tc>
        <w:tc>
          <w:tcPr>
            <w:tcW w:w="2870" w:type="dxa"/>
            <w:gridSpan w:val="2"/>
            <w:vAlign w:val="center"/>
          </w:tcPr>
          <w:p w14:paraId="60C70A38">
            <w:pPr>
              <w:pStyle w:val="50"/>
              <w:rPr>
                <w:rFonts w:ascii="Times New Roman" w:hAnsi="Times New Roman" w:eastAsia="仿宋_GB2312" w:cs="仿宋_GB2312"/>
                <w:color w:val="auto"/>
                <w:sz w:val="24"/>
                <w:szCs w:val="24"/>
                <w:highlight w:val="none"/>
              </w:rPr>
            </w:pPr>
          </w:p>
        </w:tc>
      </w:tr>
      <w:tr w14:paraId="13FB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0262664E">
            <w:pPr>
              <w:pStyle w:val="50"/>
              <w:rPr>
                <w:rFonts w:ascii="Times New Roman" w:hAnsi="Times New Roman" w:eastAsia="仿宋_GB2312" w:cs="仿宋_GB2312"/>
                <w:b/>
                <w:color w:val="auto"/>
                <w:sz w:val="24"/>
                <w:szCs w:val="24"/>
                <w:highlight w:val="none"/>
              </w:rPr>
            </w:pPr>
            <w:r>
              <w:rPr>
                <w:rFonts w:hint="eastAsia" w:ascii="Times New Roman" w:hAnsi="Times New Roman" w:eastAsia="仿宋_GB2312" w:cs="仿宋_GB2312"/>
                <w:b/>
                <w:color w:val="auto"/>
                <w:sz w:val="24"/>
                <w:szCs w:val="24"/>
                <w:highlight w:val="none"/>
              </w:rPr>
              <w:t>领导层构成情况</w:t>
            </w:r>
          </w:p>
        </w:tc>
      </w:tr>
      <w:tr w14:paraId="12FD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2EEE39E3">
            <w:pPr>
              <w:pStyle w:val="50"/>
              <w:rPr>
                <w:rFonts w:ascii="Times New Roman" w:hAnsi="Times New Roman" w:eastAsia="仿宋_GB2312" w:cs="仿宋_GB2312"/>
                <w:color w:val="auto"/>
                <w:sz w:val="24"/>
                <w:szCs w:val="24"/>
                <w:highlight w:val="none"/>
              </w:rPr>
            </w:pPr>
          </w:p>
        </w:tc>
        <w:tc>
          <w:tcPr>
            <w:tcW w:w="1914" w:type="dxa"/>
            <w:gridSpan w:val="3"/>
            <w:vAlign w:val="center"/>
          </w:tcPr>
          <w:p w14:paraId="042F836C">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姓名</w:t>
            </w:r>
          </w:p>
        </w:tc>
        <w:tc>
          <w:tcPr>
            <w:tcW w:w="1914" w:type="dxa"/>
            <w:gridSpan w:val="2"/>
            <w:vAlign w:val="center"/>
          </w:tcPr>
          <w:p w14:paraId="2DD1846D">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职务</w:t>
            </w:r>
          </w:p>
        </w:tc>
        <w:tc>
          <w:tcPr>
            <w:tcW w:w="1914" w:type="dxa"/>
            <w:gridSpan w:val="2"/>
            <w:vAlign w:val="center"/>
          </w:tcPr>
          <w:p w14:paraId="59D21A4B">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职称</w:t>
            </w:r>
          </w:p>
        </w:tc>
        <w:tc>
          <w:tcPr>
            <w:tcW w:w="1802" w:type="dxa"/>
            <w:vAlign w:val="center"/>
          </w:tcPr>
          <w:p w14:paraId="6C47A122">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联系电话</w:t>
            </w:r>
          </w:p>
        </w:tc>
      </w:tr>
      <w:tr w14:paraId="3570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25E93421">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法定代表人</w:t>
            </w:r>
          </w:p>
        </w:tc>
        <w:tc>
          <w:tcPr>
            <w:tcW w:w="1914" w:type="dxa"/>
            <w:gridSpan w:val="3"/>
            <w:vAlign w:val="center"/>
          </w:tcPr>
          <w:p w14:paraId="7E8189FC">
            <w:pPr>
              <w:pStyle w:val="50"/>
              <w:rPr>
                <w:rFonts w:ascii="Times New Roman" w:hAnsi="Times New Roman" w:eastAsia="仿宋_GB2312" w:cs="仿宋_GB2312"/>
                <w:color w:val="auto"/>
                <w:sz w:val="24"/>
                <w:szCs w:val="24"/>
                <w:highlight w:val="none"/>
              </w:rPr>
            </w:pPr>
          </w:p>
        </w:tc>
        <w:tc>
          <w:tcPr>
            <w:tcW w:w="1914" w:type="dxa"/>
            <w:gridSpan w:val="2"/>
            <w:vAlign w:val="center"/>
          </w:tcPr>
          <w:p w14:paraId="4A978AFF">
            <w:pPr>
              <w:pStyle w:val="50"/>
              <w:rPr>
                <w:rFonts w:ascii="Times New Roman" w:hAnsi="Times New Roman" w:eastAsia="仿宋_GB2312" w:cs="仿宋_GB2312"/>
                <w:color w:val="auto"/>
                <w:sz w:val="24"/>
                <w:szCs w:val="24"/>
                <w:highlight w:val="none"/>
              </w:rPr>
            </w:pPr>
          </w:p>
        </w:tc>
        <w:tc>
          <w:tcPr>
            <w:tcW w:w="1914" w:type="dxa"/>
            <w:gridSpan w:val="2"/>
            <w:vAlign w:val="center"/>
          </w:tcPr>
          <w:p w14:paraId="32BC3B9E">
            <w:pPr>
              <w:pStyle w:val="50"/>
              <w:rPr>
                <w:rFonts w:ascii="Times New Roman" w:hAnsi="Times New Roman" w:eastAsia="仿宋_GB2312" w:cs="仿宋_GB2312"/>
                <w:color w:val="auto"/>
                <w:sz w:val="24"/>
                <w:szCs w:val="24"/>
                <w:highlight w:val="none"/>
              </w:rPr>
            </w:pPr>
          </w:p>
        </w:tc>
        <w:tc>
          <w:tcPr>
            <w:tcW w:w="1802" w:type="dxa"/>
            <w:vAlign w:val="center"/>
          </w:tcPr>
          <w:p w14:paraId="7A47F436">
            <w:pPr>
              <w:pStyle w:val="50"/>
              <w:rPr>
                <w:rFonts w:ascii="Times New Roman" w:hAnsi="Times New Roman" w:eastAsia="仿宋_GB2312" w:cs="仿宋_GB2312"/>
                <w:color w:val="auto"/>
                <w:sz w:val="24"/>
                <w:szCs w:val="24"/>
                <w:highlight w:val="none"/>
              </w:rPr>
            </w:pPr>
          </w:p>
        </w:tc>
      </w:tr>
      <w:tr w14:paraId="5813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4035C0CC">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单位负责人</w:t>
            </w:r>
          </w:p>
        </w:tc>
        <w:tc>
          <w:tcPr>
            <w:tcW w:w="1914" w:type="dxa"/>
            <w:gridSpan w:val="3"/>
            <w:vAlign w:val="center"/>
          </w:tcPr>
          <w:p w14:paraId="69321D2F">
            <w:pPr>
              <w:pStyle w:val="50"/>
              <w:rPr>
                <w:rFonts w:ascii="Times New Roman" w:hAnsi="Times New Roman" w:eastAsia="仿宋_GB2312" w:cs="仿宋_GB2312"/>
                <w:color w:val="auto"/>
                <w:sz w:val="24"/>
                <w:szCs w:val="24"/>
                <w:highlight w:val="none"/>
              </w:rPr>
            </w:pPr>
          </w:p>
        </w:tc>
        <w:tc>
          <w:tcPr>
            <w:tcW w:w="1914" w:type="dxa"/>
            <w:gridSpan w:val="2"/>
            <w:vAlign w:val="center"/>
          </w:tcPr>
          <w:p w14:paraId="4296946D">
            <w:pPr>
              <w:pStyle w:val="50"/>
              <w:rPr>
                <w:rFonts w:ascii="Times New Roman" w:hAnsi="Times New Roman" w:eastAsia="仿宋_GB2312" w:cs="仿宋_GB2312"/>
                <w:color w:val="auto"/>
                <w:sz w:val="24"/>
                <w:szCs w:val="24"/>
                <w:highlight w:val="none"/>
              </w:rPr>
            </w:pPr>
          </w:p>
        </w:tc>
        <w:tc>
          <w:tcPr>
            <w:tcW w:w="1914" w:type="dxa"/>
            <w:gridSpan w:val="2"/>
            <w:vAlign w:val="center"/>
          </w:tcPr>
          <w:p w14:paraId="25C8F935">
            <w:pPr>
              <w:pStyle w:val="50"/>
              <w:rPr>
                <w:rFonts w:ascii="Times New Roman" w:hAnsi="Times New Roman" w:eastAsia="仿宋_GB2312" w:cs="仿宋_GB2312"/>
                <w:color w:val="auto"/>
                <w:sz w:val="24"/>
                <w:szCs w:val="24"/>
                <w:highlight w:val="none"/>
              </w:rPr>
            </w:pPr>
          </w:p>
        </w:tc>
        <w:tc>
          <w:tcPr>
            <w:tcW w:w="1802" w:type="dxa"/>
            <w:vAlign w:val="center"/>
          </w:tcPr>
          <w:p w14:paraId="2A0D3767">
            <w:pPr>
              <w:pStyle w:val="50"/>
              <w:rPr>
                <w:rFonts w:ascii="Times New Roman" w:hAnsi="Times New Roman" w:eastAsia="仿宋_GB2312" w:cs="仿宋_GB2312"/>
                <w:color w:val="auto"/>
                <w:sz w:val="24"/>
                <w:szCs w:val="24"/>
                <w:highlight w:val="none"/>
              </w:rPr>
            </w:pPr>
          </w:p>
        </w:tc>
      </w:tr>
      <w:tr w14:paraId="32F9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48D9C66">
            <w:pPr>
              <w:pStyle w:val="50"/>
              <w:rPr>
                <w:rFonts w:ascii="Times New Roman" w:hAnsi="Times New Roman" w:eastAsia="仿宋_GB2312" w:cs="仿宋_GB2312"/>
                <w:color w:val="auto"/>
                <w:sz w:val="24"/>
                <w:szCs w:val="24"/>
                <w:highlight w:val="none"/>
              </w:rPr>
            </w:pPr>
          </w:p>
        </w:tc>
        <w:tc>
          <w:tcPr>
            <w:tcW w:w="1914" w:type="dxa"/>
            <w:gridSpan w:val="3"/>
            <w:vAlign w:val="center"/>
          </w:tcPr>
          <w:p w14:paraId="77B5E48B">
            <w:pPr>
              <w:pStyle w:val="50"/>
              <w:rPr>
                <w:rFonts w:ascii="Times New Roman" w:hAnsi="Times New Roman" w:eastAsia="仿宋_GB2312" w:cs="仿宋_GB2312"/>
                <w:color w:val="auto"/>
                <w:sz w:val="24"/>
                <w:szCs w:val="24"/>
                <w:highlight w:val="none"/>
              </w:rPr>
            </w:pPr>
          </w:p>
        </w:tc>
        <w:tc>
          <w:tcPr>
            <w:tcW w:w="1914" w:type="dxa"/>
            <w:gridSpan w:val="2"/>
            <w:vAlign w:val="center"/>
          </w:tcPr>
          <w:p w14:paraId="180DB37E">
            <w:pPr>
              <w:pStyle w:val="50"/>
              <w:rPr>
                <w:rFonts w:ascii="Times New Roman" w:hAnsi="Times New Roman" w:eastAsia="仿宋_GB2312" w:cs="仿宋_GB2312"/>
                <w:color w:val="auto"/>
                <w:sz w:val="24"/>
                <w:szCs w:val="24"/>
                <w:highlight w:val="none"/>
              </w:rPr>
            </w:pPr>
          </w:p>
        </w:tc>
        <w:tc>
          <w:tcPr>
            <w:tcW w:w="1914" w:type="dxa"/>
            <w:gridSpan w:val="2"/>
            <w:vAlign w:val="center"/>
          </w:tcPr>
          <w:p w14:paraId="60AB9A26">
            <w:pPr>
              <w:pStyle w:val="50"/>
              <w:rPr>
                <w:rFonts w:ascii="Times New Roman" w:hAnsi="Times New Roman" w:eastAsia="仿宋_GB2312" w:cs="仿宋_GB2312"/>
                <w:color w:val="auto"/>
                <w:sz w:val="24"/>
                <w:szCs w:val="24"/>
                <w:highlight w:val="none"/>
              </w:rPr>
            </w:pPr>
          </w:p>
        </w:tc>
        <w:tc>
          <w:tcPr>
            <w:tcW w:w="1802" w:type="dxa"/>
            <w:vAlign w:val="center"/>
          </w:tcPr>
          <w:p w14:paraId="3245988B">
            <w:pPr>
              <w:pStyle w:val="50"/>
              <w:rPr>
                <w:rFonts w:ascii="Times New Roman" w:hAnsi="Times New Roman" w:eastAsia="仿宋_GB2312" w:cs="仿宋_GB2312"/>
                <w:color w:val="auto"/>
                <w:sz w:val="24"/>
                <w:szCs w:val="24"/>
                <w:highlight w:val="none"/>
              </w:rPr>
            </w:pPr>
          </w:p>
        </w:tc>
      </w:tr>
      <w:tr w14:paraId="6DE7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3800832C">
            <w:pPr>
              <w:pStyle w:val="50"/>
              <w:rPr>
                <w:rFonts w:ascii="Times New Roman" w:hAnsi="Times New Roman" w:eastAsia="仿宋_GB2312" w:cs="仿宋_GB2312"/>
                <w:color w:val="auto"/>
                <w:sz w:val="24"/>
                <w:szCs w:val="24"/>
                <w:highlight w:val="none"/>
              </w:rPr>
            </w:pPr>
          </w:p>
        </w:tc>
        <w:tc>
          <w:tcPr>
            <w:tcW w:w="1914" w:type="dxa"/>
            <w:gridSpan w:val="3"/>
            <w:vAlign w:val="center"/>
          </w:tcPr>
          <w:p w14:paraId="06B5109F">
            <w:pPr>
              <w:pStyle w:val="50"/>
              <w:rPr>
                <w:rFonts w:ascii="Times New Roman" w:hAnsi="Times New Roman" w:eastAsia="仿宋_GB2312" w:cs="仿宋_GB2312"/>
                <w:color w:val="auto"/>
                <w:sz w:val="24"/>
                <w:szCs w:val="24"/>
                <w:highlight w:val="none"/>
              </w:rPr>
            </w:pPr>
          </w:p>
        </w:tc>
        <w:tc>
          <w:tcPr>
            <w:tcW w:w="1914" w:type="dxa"/>
            <w:gridSpan w:val="2"/>
            <w:vAlign w:val="center"/>
          </w:tcPr>
          <w:p w14:paraId="6B4B4ADF">
            <w:pPr>
              <w:pStyle w:val="50"/>
              <w:rPr>
                <w:rFonts w:ascii="Times New Roman" w:hAnsi="Times New Roman" w:eastAsia="仿宋_GB2312" w:cs="仿宋_GB2312"/>
                <w:color w:val="auto"/>
                <w:sz w:val="24"/>
                <w:szCs w:val="24"/>
                <w:highlight w:val="none"/>
              </w:rPr>
            </w:pPr>
          </w:p>
        </w:tc>
        <w:tc>
          <w:tcPr>
            <w:tcW w:w="1914" w:type="dxa"/>
            <w:gridSpan w:val="2"/>
            <w:vAlign w:val="center"/>
          </w:tcPr>
          <w:p w14:paraId="4284462C">
            <w:pPr>
              <w:pStyle w:val="50"/>
              <w:rPr>
                <w:rFonts w:ascii="Times New Roman" w:hAnsi="Times New Roman" w:eastAsia="仿宋_GB2312" w:cs="仿宋_GB2312"/>
                <w:color w:val="auto"/>
                <w:sz w:val="24"/>
                <w:szCs w:val="24"/>
                <w:highlight w:val="none"/>
              </w:rPr>
            </w:pPr>
          </w:p>
        </w:tc>
        <w:tc>
          <w:tcPr>
            <w:tcW w:w="1802" w:type="dxa"/>
            <w:vAlign w:val="center"/>
          </w:tcPr>
          <w:p w14:paraId="6784D4E2">
            <w:pPr>
              <w:pStyle w:val="50"/>
              <w:rPr>
                <w:rFonts w:ascii="Times New Roman" w:hAnsi="Times New Roman" w:eastAsia="仿宋_GB2312" w:cs="仿宋_GB2312"/>
                <w:color w:val="auto"/>
                <w:sz w:val="24"/>
                <w:szCs w:val="24"/>
                <w:highlight w:val="none"/>
              </w:rPr>
            </w:pPr>
          </w:p>
        </w:tc>
      </w:tr>
      <w:tr w14:paraId="486A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6FABAC81">
            <w:pPr>
              <w:pStyle w:val="50"/>
              <w:rPr>
                <w:rFonts w:ascii="Times New Roman" w:hAnsi="Times New Roman" w:eastAsia="仿宋_GB2312" w:cs="仿宋_GB2312"/>
                <w:color w:val="auto"/>
                <w:sz w:val="24"/>
                <w:szCs w:val="24"/>
                <w:highlight w:val="none"/>
              </w:rPr>
            </w:pPr>
          </w:p>
        </w:tc>
        <w:tc>
          <w:tcPr>
            <w:tcW w:w="1914" w:type="dxa"/>
            <w:gridSpan w:val="3"/>
            <w:vAlign w:val="center"/>
          </w:tcPr>
          <w:p w14:paraId="2805B532">
            <w:pPr>
              <w:pStyle w:val="50"/>
              <w:rPr>
                <w:rFonts w:ascii="Times New Roman" w:hAnsi="Times New Roman" w:eastAsia="仿宋_GB2312" w:cs="仿宋_GB2312"/>
                <w:color w:val="auto"/>
                <w:sz w:val="24"/>
                <w:szCs w:val="24"/>
                <w:highlight w:val="none"/>
              </w:rPr>
            </w:pPr>
          </w:p>
        </w:tc>
        <w:tc>
          <w:tcPr>
            <w:tcW w:w="1914" w:type="dxa"/>
            <w:gridSpan w:val="2"/>
            <w:vAlign w:val="center"/>
          </w:tcPr>
          <w:p w14:paraId="7E04FB07">
            <w:pPr>
              <w:pStyle w:val="50"/>
              <w:rPr>
                <w:rFonts w:ascii="Times New Roman" w:hAnsi="Times New Roman" w:eastAsia="仿宋_GB2312" w:cs="仿宋_GB2312"/>
                <w:color w:val="auto"/>
                <w:sz w:val="24"/>
                <w:szCs w:val="24"/>
                <w:highlight w:val="none"/>
              </w:rPr>
            </w:pPr>
          </w:p>
        </w:tc>
        <w:tc>
          <w:tcPr>
            <w:tcW w:w="1914" w:type="dxa"/>
            <w:gridSpan w:val="2"/>
            <w:vAlign w:val="center"/>
          </w:tcPr>
          <w:p w14:paraId="201F40C5">
            <w:pPr>
              <w:pStyle w:val="50"/>
              <w:rPr>
                <w:rFonts w:ascii="Times New Roman" w:hAnsi="Times New Roman" w:eastAsia="仿宋_GB2312" w:cs="仿宋_GB2312"/>
                <w:color w:val="auto"/>
                <w:sz w:val="24"/>
                <w:szCs w:val="24"/>
                <w:highlight w:val="none"/>
              </w:rPr>
            </w:pPr>
          </w:p>
        </w:tc>
        <w:tc>
          <w:tcPr>
            <w:tcW w:w="1802" w:type="dxa"/>
            <w:vAlign w:val="center"/>
          </w:tcPr>
          <w:p w14:paraId="6A04778B">
            <w:pPr>
              <w:pStyle w:val="50"/>
              <w:rPr>
                <w:rFonts w:ascii="Times New Roman" w:hAnsi="Times New Roman" w:eastAsia="仿宋_GB2312" w:cs="仿宋_GB2312"/>
                <w:color w:val="auto"/>
                <w:sz w:val="24"/>
                <w:szCs w:val="24"/>
                <w:highlight w:val="none"/>
              </w:rPr>
            </w:pPr>
          </w:p>
        </w:tc>
      </w:tr>
      <w:tr w14:paraId="6CEE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49696FB2">
            <w:pPr>
              <w:pStyle w:val="50"/>
              <w:rPr>
                <w:rFonts w:ascii="Times New Roman" w:hAnsi="Times New Roman" w:eastAsia="仿宋_GB2312" w:cs="仿宋_GB2312"/>
                <w:b/>
                <w:color w:val="auto"/>
                <w:sz w:val="24"/>
                <w:szCs w:val="24"/>
                <w:highlight w:val="none"/>
              </w:rPr>
            </w:pPr>
            <w:r>
              <w:rPr>
                <w:rFonts w:hint="eastAsia" w:ascii="Times New Roman" w:hAnsi="Times New Roman" w:eastAsia="仿宋_GB2312" w:cs="仿宋_GB2312"/>
                <w:b/>
                <w:color w:val="auto"/>
                <w:sz w:val="24"/>
                <w:szCs w:val="24"/>
                <w:highlight w:val="none"/>
              </w:rPr>
              <w:t>人员职称构成情况</w:t>
            </w:r>
          </w:p>
        </w:tc>
      </w:tr>
      <w:tr w14:paraId="4259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24FDBA4D">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人员总数</w:t>
            </w:r>
          </w:p>
        </w:tc>
        <w:tc>
          <w:tcPr>
            <w:tcW w:w="1914" w:type="dxa"/>
            <w:gridSpan w:val="3"/>
            <w:vAlign w:val="center"/>
          </w:tcPr>
          <w:p w14:paraId="34E0DE23">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高级职称</w:t>
            </w:r>
          </w:p>
        </w:tc>
        <w:tc>
          <w:tcPr>
            <w:tcW w:w="1914" w:type="dxa"/>
            <w:gridSpan w:val="2"/>
            <w:vAlign w:val="center"/>
          </w:tcPr>
          <w:p w14:paraId="31B6A71A">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中级职称</w:t>
            </w:r>
          </w:p>
        </w:tc>
        <w:tc>
          <w:tcPr>
            <w:tcW w:w="1914" w:type="dxa"/>
            <w:gridSpan w:val="2"/>
            <w:vAlign w:val="center"/>
          </w:tcPr>
          <w:p w14:paraId="473567BD">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初级职称</w:t>
            </w:r>
          </w:p>
        </w:tc>
        <w:tc>
          <w:tcPr>
            <w:tcW w:w="1802" w:type="dxa"/>
            <w:vAlign w:val="center"/>
          </w:tcPr>
          <w:p w14:paraId="66D98896">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其他</w:t>
            </w:r>
          </w:p>
        </w:tc>
      </w:tr>
      <w:tr w14:paraId="565A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0B49B023">
            <w:pPr>
              <w:pStyle w:val="50"/>
              <w:rPr>
                <w:rFonts w:ascii="Times New Roman" w:hAnsi="Times New Roman" w:eastAsia="仿宋_GB2312" w:cs="仿宋_GB2312"/>
                <w:color w:val="auto"/>
                <w:sz w:val="24"/>
                <w:szCs w:val="24"/>
                <w:highlight w:val="none"/>
              </w:rPr>
            </w:pPr>
          </w:p>
        </w:tc>
        <w:tc>
          <w:tcPr>
            <w:tcW w:w="1914" w:type="dxa"/>
            <w:gridSpan w:val="3"/>
            <w:vAlign w:val="center"/>
          </w:tcPr>
          <w:p w14:paraId="24F6D8C0">
            <w:pPr>
              <w:pStyle w:val="50"/>
              <w:rPr>
                <w:rFonts w:ascii="Times New Roman" w:hAnsi="Times New Roman" w:eastAsia="仿宋_GB2312" w:cs="仿宋_GB2312"/>
                <w:color w:val="auto"/>
                <w:sz w:val="24"/>
                <w:szCs w:val="24"/>
                <w:highlight w:val="none"/>
              </w:rPr>
            </w:pPr>
          </w:p>
        </w:tc>
        <w:tc>
          <w:tcPr>
            <w:tcW w:w="1914" w:type="dxa"/>
            <w:gridSpan w:val="2"/>
            <w:vAlign w:val="center"/>
          </w:tcPr>
          <w:p w14:paraId="2CE613C5">
            <w:pPr>
              <w:pStyle w:val="50"/>
              <w:rPr>
                <w:rFonts w:ascii="Times New Roman" w:hAnsi="Times New Roman" w:eastAsia="仿宋_GB2312" w:cs="仿宋_GB2312"/>
                <w:color w:val="auto"/>
                <w:sz w:val="24"/>
                <w:szCs w:val="24"/>
                <w:highlight w:val="none"/>
              </w:rPr>
            </w:pPr>
          </w:p>
        </w:tc>
        <w:tc>
          <w:tcPr>
            <w:tcW w:w="1914" w:type="dxa"/>
            <w:gridSpan w:val="2"/>
            <w:vAlign w:val="center"/>
          </w:tcPr>
          <w:p w14:paraId="11913420">
            <w:pPr>
              <w:pStyle w:val="50"/>
              <w:rPr>
                <w:rFonts w:ascii="Times New Roman" w:hAnsi="Times New Roman" w:eastAsia="仿宋_GB2312" w:cs="仿宋_GB2312"/>
                <w:color w:val="auto"/>
                <w:sz w:val="24"/>
                <w:szCs w:val="24"/>
                <w:highlight w:val="none"/>
              </w:rPr>
            </w:pPr>
          </w:p>
        </w:tc>
        <w:tc>
          <w:tcPr>
            <w:tcW w:w="1802" w:type="dxa"/>
            <w:vAlign w:val="center"/>
          </w:tcPr>
          <w:p w14:paraId="0A897503">
            <w:pPr>
              <w:pStyle w:val="50"/>
              <w:rPr>
                <w:rFonts w:ascii="Times New Roman" w:hAnsi="Times New Roman" w:eastAsia="仿宋_GB2312" w:cs="仿宋_GB2312"/>
                <w:color w:val="auto"/>
                <w:sz w:val="24"/>
                <w:szCs w:val="24"/>
                <w:highlight w:val="none"/>
              </w:rPr>
            </w:pPr>
          </w:p>
        </w:tc>
      </w:tr>
      <w:tr w14:paraId="5AF5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70006A27">
            <w:pPr>
              <w:pStyle w:val="50"/>
              <w:rPr>
                <w:rFonts w:ascii="Times New Roman" w:hAnsi="Times New Roman" w:eastAsia="仿宋_GB2312" w:cs="仿宋_GB2312"/>
                <w:b/>
                <w:color w:val="auto"/>
                <w:sz w:val="24"/>
                <w:szCs w:val="24"/>
                <w:highlight w:val="none"/>
              </w:rPr>
            </w:pPr>
            <w:r>
              <w:rPr>
                <w:rFonts w:hint="eastAsia" w:ascii="Times New Roman" w:hAnsi="Times New Roman" w:eastAsia="仿宋_GB2312" w:cs="仿宋_GB2312"/>
                <w:b/>
                <w:color w:val="auto"/>
                <w:sz w:val="24"/>
                <w:szCs w:val="24"/>
                <w:highlight w:val="none"/>
              </w:rPr>
              <w:t>近5年营业额情况（万元）</w:t>
            </w:r>
          </w:p>
        </w:tc>
      </w:tr>
      <w:tr w14:paraId="0843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11C6BE31">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20  年</w:t>
            </w:r>
          </w:p>
        </w:tc>
        <w:tc>
          <w:tcPr>
            <w:tcW w:w="1660" w:type="dxa"/>
            <w:vAlign w:val="center"/>
          </w:tcPr>
          <w:p w14:paraId="107B2297">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20  年</w:t>
            </w:r>
          </w:p>
        </w:tc>
        <w:tc>
          <w:tcPr>
            <w:tcW w:w="1914" w:type="dxa"/>
            <w:gridSpan w:val="2"/>
            <w:vAlign w:val="center"/>
          </w:tcPr>
          <w:p w14:paraId="5EEAA497">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20  年</w:t>
            </w:r>
          </w:p>
        </w:tc>
        <w:tc>
          <w:tcPr>
            <w:tcW w:w="1914" w:type="dxa"/>
            <w:gridSpan w:val="2"/>
            <w:vAlign w:val="center"/>
          </w:tcPr>
          <w:p w14:paraId="6AB9155C">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20  年</w:t>
            </w:r>
          </w:p>
        </w:tc>
        <w:tc>
          <w:tcPr>
            <w:tcW w:w="1802" w:type="dxa"/>
            <w:vAlign w:val="center"/>
          </w:tcPr>
          <w:p w14:paraId="597568D3">
            <w:pPr>
              <w:pStyle w:val="5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20  年</w:t>
            </w:r>
          </w:p>
        </w:tc>
      </w:tr>
      <w:tr w14:paraId="5306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19837720">
            <w:pPr>
              <w:pStyle w:val="50"/>
              <w:rPr>
                <w:rFonts w:ascii="Times New Roman" w:hAnsi="Times New Roman" w:eastAsia="仿宋_GB2312" w:cs="仿宋_GB2312"/>
                <w:color w:val="auto"/>
                <w:sz w:val="24"/>
                <w:szCs w:val="24"/>
                <w:highlight w:val="none"/>
              </w:rPr>
            </w:pPr>
          </w:p>
        </w:tc>
        <w:tc>
          <w:tcPr>
            <w:tcW w:w="1660" w:type="dxa"/>
            <w:vAlign w:val="center"/>
          </w:tcPr>
          <w:p w14:paraId="637DCBDB">
            <w:pPr>
              <w:pStyle w:val="50"/>
              <w:rPr>
                <w:rFonts w:ascii="Times New Roman" w:hAnsi="Times New Roman" w:eastAsia="仿宋_GB2312" w:cs="仿宋_GB2312"/>
                <w:color w:val="auto"/>
                <w:sz w:val="24"/>
                <w:szCs w:val="24"/>
                <w:highlight w:val="none"/>
              </w:rPr>
            </w:pPr>
          </w:p>
        </w:tc>
        <w:tc>
          <w:tcPr>
            <w:tcW w:w="1914" w:type="dxa"/>
            <w:gridSpan w:val="2"/>
            <w:vAlign w:val="center"/>
          </w:tcPr>
          <w:p w14:paraId="6C028A77">
            <w:pPr>
              <w:pStyle w:val="50"/>
              <w:rPr>
                <w:rFonts w:ascii="Times New Roman" w:hAnsi="Times New Roman" w:eastAsia="仿宋_GB2312" w:cs="仿宋_GB2312"/>
                <w:color w:val="auto"/>
                <w:sz w:val="24"/>
                <w:szCs w:val="24"/>
                <w:highlight w:val="none"/>
              </w:rPr>
            </w:pPr>
          </w:p>
        </w:tc>
        <w:tc>
          <w:tcPr>
            <w:tcW w:w="1914" w:type="dxa"/>
            <w:gridSpan w:val="2"/>
            <w:vAlign w:val="center"/>
          </w:tcPr>
          <w:p w14:paraId="3886E560">
            <w:pPr>
              <w:pStyle w:val="50"/>
              <w:rPr>
                <w:rFonts w:ascii="Times New Roman" w:hAnsi="Times New Roman" w:eastAsia="仿宋_GB2312" w:cs="仿宋_GB2312"/>
                <w:color w:val="auto"/>
                <w:sz w:val="24"/>
                <w:szCs w:val="24"/>
                <w:highlight w:val="none"/>
              </w:rPr>
            </w:pPr>
          </w:p>
        </w:tc>
        <w:tc>
          <w:tcPr>
            <w:tcW w:w="1802" w:type="dxa"/>
            <w:vAlign w:val="center"/>
          </w:tcPr>
          <w:p w14:paraId="2A1A6E51">
            <w:pPr>
              <w:pStyle w:val="50"/>
              <w:rPr>
                <w:rFonts w:ascii="Times New Roman" w:hAnsi="Times New Roman" w:eastAsia="仿宋_GB2312" w:cs="仿宋_GB2312"/>
                <w:color w:val="auto"/>
                <w:sz w:val="24"/>
                <w:szCs w:val="24"/>
                <w:highlight w:val="none"/>
              </w:rPr>
            </w:pPr>
          </w:p>
        </w:tc>
      </w:tr>
    </w:tbl>
    <w:p w14:paraId="48511BAF">
      <w:pPr>
        <w:pStyle w:val="50"/>
        <w:snapToGrid w:val="0"/>
        <w:spacing w:line="360" w:lineRule="auto"/>
        <w:rPr>
          <w:rFonts w:ascii="Times New Roman" w:hAnsi="Times New Roman" w:eastAsia="仿宋_GB2312" w:cs="仿宋_GB2312"/>
          <w:snapToGrid w:val="0"/>
          <w:color w:val="auto"/>
          <w:sz w:val="24"/>
          <w:szCs w:val="24"/>
          <w:highlight w:val="none"/>
        </w:rPr>
      </w:pPr>
      <w:bookmarkStart w:id="139" w:name="_Toc24517"/>
      <w:r>
        <w:rPr>
          <w:rFonts w:hint="eastAsia" w:ascii="Times New Roman" w:hAnsi="Times New Roman" w:eastAsia="仿宋_GB2312" w:cs="仿宋_GB2312"/>
          <w:color w:val="auto"/>
          <w:sz w:val="24"/>
          <w:szCs w:val="24"/>
          <w:highlight w:val="none"/>
        </w:rPr>
        <w:t>注：本表后应附相关证明材料的复印件并加盖公章。</w:t>
      </w:r>
    </w:p>
    <w:p w14:paraId="6A9FD9CB">
      <w:pPr>
        <w:pStyle w:val="50"/>
        <w:snapToGrid w:val="0"/>
        <w:spacing w:line="360" w:lineRule="auto"/>
        <w:rPr>
          <w:rFonts w:ascii="Times New Roman" w:hAnsi="Times New Roman" w:eastAsia="仿宋_GB2312" w:cs="仿宋_GB2312"/>
          <w:snapToGrid w:val="0"/>
          <w:color w:val="auto"/>
          <w:sz w:val="24"/>
          <w:szCs w:val="24"/>
          <w:highlight w:val="none"/>
        </w:rPr>
      </w:pPr>
      <w:r>
        <w:rPr>
          <w:rFonts w:hint="eastAsia" w:ascii="Times New Roman" w:hAnsi="Times New Roman" w:eastAsia="仿宋_GB2312" w:cs="仿宋_GB2312"/>
          <w:snapToGrid w:val="0"/>
          <w:color w:val="auto"/>
          <w:sz w:val="24"/>
          <w:szCs w:val="24"/>
          <w:highlight w:val="none"/>
        </w:rPr>
        <w:t>投标人（盖公章）：</w:t>
      </w:r>
    </w:p>
    <w:p w14:paraId="11733D0E">
      <w:pPr>
        <w:pStyle w:val="50"/>
        <w:snapToGrid w:val="0"/>
        <w:spacing w:line="360" w:lineRule="auto"/>
        <w:rPr>
          <w:rFonts w:ascii="Times New Roman" w:hAnsi="Times New Roman" w:eastAsia="仿宋_GB2312" w:cs="仿宋_GB2312"/>
          <w:snapToGrid w:val="0"/>
          <w:color w:val="auto"/>
          <w:sz w:val="24"/>
          <w:szCs w:val="24"/>
          <w:highlight w:val="none"/>
        </w:rPr>
      </w:pPr>
      <w:r>
        <w:rPr>
          <w:rFonts w:hint="eastAsia" w:ascii="Times New Roman" w:hAnsi="Times New Roman" w:eastAsia="仿宋_GB2312" w:cs="仿宋_GB2312"/>
          <w:snapToGrid w:val="0"/>
          <w:color w:val="auto"/>
          <w:sz w:val="24"/>
          <w:szCs w:val="24"/>
          <w:highlight w:val="none"/>
        </w:rPr>
        <w:t>法定代表人（负责人）或其委托代理人（签字或盖章）：</w:t>
      </w:r>
    </w:p>
    <w:p w14:paraId="0CFA02AD">
      <w:pPr>
        <w:pStyle w:val="50"/>
        <w:snapToGrid w:val="0"/>
        <w:spacing w:line="360" w:lineRule="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snapToGrid w:val="0"/>
          <w:color w:val="auto"/>
          <w:sz w:val="24"/>
          <w:szCs w:val="24"/>
          <w:highlight w:val="none"/>
        </w:rPr>
        <w:t>日期：</w:t>
      </w:r>
      <w:r>
        <w:rPr>
          <w:rFonts w:hint="eastAsia" w:ascii="Times New Roman" w:hAnsi="Times New Roman" w:eastAsia="仿宋_GB2312" w:cs="仿宋_GB2312"/>
          <w:color w:val="auto"/>
          <w:sz w:val="24"/>
          <w:szCs w:val="24"/>
          <w:highlight w:val="none"/>
        </w:rPr>
        <w:t xml:space="preserve">      年    月    日</w:t>
      </w:r>
    </w:p>
    <w:p w14:paraId="6E45705A">
      <w:pPr>
        <w:snapToGrid w:val="0"/>
        <w:spacing w:line="360" w:lineRule="auto"/>
        <w:jc w:val="center"/>
        <w:rPr>
          <w:rFonts w:cs="仿宋_GB2312"/>
          <w:color w:val="auto"/>
          <w:sz w:val="24"/>
          <w:highlight w:val="none"/>
        </w:rPr>
      </w:pPr>
    </w:p>
    <w:p w14:paraId="78F40DCD">
      <w:pPr>
        <w:snapToGrid w:val="0"/>
        <w:spacing w:line="360" w:lineRule="auto"/>
        <w:jc w:val="center"/>
        <w:outlineLvl w:val="1"/>
        <w:rPr>
          <w:rFonts w:cs="仿宋_GB2312"/>
          <w:color w:val="auto"/>
          <w:sz w:val="24"/>
          <w:highlight w:val="none"/>
        </w:rPr>
      </w:pPr>
    </w:p>
    <w:p w14:paraId="45C25AE6">
      <w:pPr>
        <w:pStyle w:val="5"/>
        <w:jc w:val="center"/>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二、股东信息及出资比例信息表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2934"/>
        <w:gridCol w:w="2935"/>
      </w:tblGrid>
      <w:tr w14:paraId="383C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vAlign w:val="center"/>
          </w:tcPr>
          <w:p w14:paraId="4C25F2E9">
            <w:pPr>
              <w:pStyle w:val="9"/>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3315" w:type="dxa"/>
            <w:vAlign w:val="center"/>
          </w:tcPr>
          <w:p w14:paraId="66E4A7D0">
            <w:pPr>
              <w:pStyle w:val="9"/>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股东</w:t>
            </w:r>
          </w:p>
        </w:tc>
        <w:tc>
          <w:tcPr>
            <w:tcW w:w="3316" w:type="dxa"/>
            <w:vAlign w:val="center"/>
          </w:tcPr>
          <w:p w14:paraId="6D06C83A">
            <w:pPr>
              <w:pStyle w:val="9"/>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出资比例</w:t>
            </w:r>
          </w:p>
        </w:tc>
      </w:tr>
      <w:tr w14:paraId="3227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7BA1A1F9">
            <w:pPr>
              <w:pStyle w:val="9"/>
              <w:rPr>
                <w:rFonts w:hint="eastAsia" w:ascii="仿宋_GB2312" w:hAnsi="仿宋_GB2312" w:eastAsia="仿宋_GB2312" w:cs="仿宋_GB2312"/>
                <w:bCs/>
                <w:color w:val="auto"/>
                <w:sz w:val="24"/>
                <w:szCs w:val="24"/>
                <w:highlight w:val="none"/>
              </w:rPr>
            </w:pPr>
          </w:p>
        </w:tc>
        <w:tc>
          <w:tcPr>
            <w:tcW w:w="3315" w:type="dxa"/>
          </w:tcPr>
          <w:p w14:paraId="02CFC618">
            <w:pPr>
              <w:pStyle w:val="9"/>
              <w:rPr>
                <w:rFonts w:hint="eastAsia" w:ascii="仿宋_GB2312" w:hAnsi="仿宋_GB2312" w:eastAsia="仿宋_GB2312" w:cs="仿宋_GB2312"/>
                <w:bCs/>
                <w:color w:val="auto"/>
                <w:sz w:val="24"/>
                <w:szCs w:val="24"/>
                <w:highlight w:val="none"/>
              </w:rPr>
            </w:pPr>
          </w:p>
        </w:tc>
        <w:tc>
          <w:tcPr>
            <w:tcW w:w="3316" w:type="dxa"/>
          </w:tcPr>
          <w:p w14:paraId="77EF4B46">
            <w:pPr>
              <w:pStyle w:val="9"/>
              <w:rPr>
                <w:rFonts w:hint="eastAsia" w:ascii="仿宋_GB2312" w:hAnsi="仿宋_GB2312" w:eastAsia="仿宋_GB2312" w:cs="仿宋_GB2312"/>
                <w:bCs/>
                <w:color w:val="auto"/>
                <w:sz w:val="24"/>
                <w:szCs w:val="24"/>
                <w:highlight w:val="none"/>
              </w:rPr>
            </w:pPr>
          </w:p>
        </w:tc>
      </w:tr>
      <w:tr w14:paraId="4771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3AA48E48">
            <w:pPr>
              <w:pStyle w:val="9"/>
              <w:rPr>
                <w:rFonts w:hint="eastAsia" w:ascii="仿宋_GB2312" w:hAnsi="仿宋_GB2312" w:eastAsia="仿宋_GB2312" w:cs="仿宋_GB2312"/>
                <w:bCs/>
                <w:color w:val="auto"/>
                <w:sz w:val="24"/>
                <w:szCs w:val="24"/>
                <w:highlight w:val="none"/>
              </w:rPr>
            </w:pPr>
          </w:p>
        </w:tc>
        <w:tc>
          <w:tcPr>
            <w:tcW w:w="3315" w:type="dxa"/>
          </w:tcPr>
          <w:p w14:paraId="55F334F9">
            <w:pPr>
              <w:pStyle w:val="9"/>
              <w:rPr>
                <w:rFonts w:hint="eastAsia" w:ascii="仿宋_GB2312" w:hAnsi="仿宋_GB2312" w:eastAsia="仿宋_GB2312" w:cs="仿宋_GB2312"/>
                <w:bCs/>
                <w:color w:val="auto"/>
                <w:sz w:val="24"/>
                <w:szCs w:val="24"/>
                <w:highlight w:val="none"/>
              </w:rPr>
            </w:pPr>
          </w:p>
        </w:tc>
        <w:tc>
          <w:tcPr>
            <w:tcW w:w="3316" w:type="dxa"/>
          </w:tcPr>
          <w:p w14:paraId="6E4425F9">
            <w:pPr>
              <w:pStyle w:val="9"/>
              <w:rPr>
                <w:rFonts w:hint="eastAsia" w:ascii="仿宋_GB2312" w:hAnsi="仿宋_GB2312" w:eastAsia="仿宋_GB2312" w:cs="仿宋_GB2312"/>
                <w:bCs/>
                <w:color w:val="auto"/>
                <w:sz w:val="24"/>
                <w:szCs w:val="24"/>
                <w:highlight w:val="none"/>
              </w:rPr>
            </w:pPr>
          </w:p>
        </w:tc>
      </w:tr>
      <w:tr w14:paraId="555D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6D709825">
            <w:pPr>
              <w:pStyle w:val="9"/>
              <w:rPr>
                <w:rFonts w:hint="eastAsia" w:ascii="仿宋_GB2312" w:hAnsi="仿宋_GB2312" w:eastAsia="仿宋_GB2312" w:cs="仿宋_GB2312"/>
                <w:bCs/>
                <w:color w:val="auto"/>
                <w:sz w:val="24"/>
                <w:szCs w:val="24"/>
                <w:highlight w:val="none"/>
              </w:rPr>
            </w:pPr>
          </w:p>
        </w:tc>
        <w:tc>
          <w:tcPr>
            <w:tcW w:w="3315" w:type="dxa"/>
          </w:tcPr>
          <w:p w14:paraId="1389A2E7">
            <w:pPr>
              <w:pStyle w:val="9"/>
              <w:rPr>
                <w:rFonts w:hint="eastAsia" w:ascii="仿宋_GB2312" w:hAnsi="仿宋_GB2312" w:eastAsia="仿宋_GB2312" w:cs="仿宋_GB2312"/>
                <w:bCs/>
                <w:color w:val="auto"/>
                <w:sz w:val="24"/>
                <w:szCs w:val="24"/>
                <w:highlight w:val="none"/>
              </w:rPr>
            </w:pPr>
          </w:p>
        </w:tc>
        <w:tc>
          <w:tcPr>
            <w:tcW w:w="3316" w:type="dxa"/>
          </w:tcPr>
          <w:p w14:paraId="223B3B48">
            <w:pPr>
              <w:pStyle w:val="9"/>
              <w:rPr>
                <w:rFonts w:hint="eastAsia" w:ascii="仿宋_GB2312" w:hAnsi="仿宋_GB2312" w:eastAsia="仿宋_GB2312" w:cs="仿宋_GB2312"/>
                <w:bCs/>
                <w:color w:val="auto"/>
                <w:sz w:val="24"/>
                <w:szCs w:val="24"/>
                <w:highlight w:val="none"/>
              </w:rPr>
            </w:pPr>
          </w:p>
        </w:tc>
      </w:tr>
      <w:tr w14:paraId="1A56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10FDE100">
            <w:pPr>
              <w:pStyle w:val="9"/>
              <w:rPr>
                <w:rFonts w:hint="eastAsia" w:ascii="仿宋_GB2312" w:hAnsi="仿宋_GB2312" w:eastAsia="仿宋_GB2312" w:cs="仿宋_GB2312"/>
                <w:bCs/>
                <w:color w:val="auto"/>
                <w:sz w:val="24"/>
                <w:szCs w:val="24"/>
                <w:highlight w:val="none"/>
              </w:rPr>
            </w:pPr>
          </w:p>
        </w:tc>
        <w:tc>
          <w:tcPr>
            <w:tcW w:w="3315" w:type="dxa"/>
          </w:tcPr>
          <w:p w14:paraId="76AD678E">
            <w:pPr>
              <w:pStyle w:val="9"/>
              <w:rPr>
                <w:rFonts w:hint="eastAsia" w:ascii="仿宋_GB2312" w:hAnsi="仿宋_GB2312" w:eastAsia="仿宋_GB2312" w:cs="仿宋_GB2312"/>
                <w:bCs/>
                <w:color w:val="auto"/>
                <w:sz w:val="24"/>
                <w:szCs w:val="24"/>
                <w:highlight w:val="none"/>
              </w:rPr>
            </w:pPr>
          </w:p>
        </w:tc>
        <w:tc>
          <w:tcPr>
            <w:tcW w:w="3316" w:type="dxa"/>
          </w:tcPr>
          <w:p w14:paraId="756AB961">
            <w:pPr>
              <w:pStyle w:val="9"/>
              <w:rPr>
                <w:rFonts w:hint="eastAsia" w:ascii="仿宋_GB2312" w:hAnsi="仿宋_GB2312" w:eastAsia="仿宋_GB2312" w:cs="仿宋_GB2312"/>
                <w:bCs/>
                <w:color w:val="auto"/>
                <w:sz w:val="24"/>
                <w:szCs w:val="24"/>
                <w:highlight w:val="none"/>
              </w:rPr>
            </w:pPr>
          </w:p>
        </w:tc>
      </w:tr>
      <w:tr w14:paraId="28CF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0B8755CE">
            <w:pPr>
              <w:pStyle w:val="9"/>
              <w:rPr>
                <w:rFonts w:hint="eastAsia" w:ascii="仿宋_GB2312" w:hAnsi="仿宋_GB2312" w:eastAsia="仿宋_GB2312" w:cs="仿宋_GB2312"/>
                <w:bCs/>
                <w:color w:val="auto"/>
                <w:sz w:val="24"/>
                <w:szCs w:val="24"/>
                <w:highlight w:val="none"/>
              </w:rPr>
            </w:pPr>
          </w:p>
        </w:tc>
        <w:tc>
          <w:tcPr>
            <w:tcW w:w="3315" w:type="dxa"/>
          </w:tcPr>
          <w:p w14:paraId="61F36526">
            <w:pPr>
              <w:pStyle w:val="9"/>
              <w:rPr>
                <w:rFonts w:hint="eastAsia" w:ascii="仿宋_GB2312" w:hAnsi="仿宋_GB2312" w:eastAsia="仿宋_GB2312" w:cs="仿宋_GB2312"/>
                <w:bCs/>
                <w:color w:val="auto"/>
                <w:sz w:val="24"/>
                <w:szCs w:val="24"/>
                <w:highlight w:val="none"/>
              </w:rPr>
            </w:pPr>
          </w:p>
        </w:tc>
        <w:tc>
          <w:tcPr>
            <w:tcW w:w="3316" w:type="dxa"/>
          </w:tcPr>
          <w:p w14:paraId="517C4E2D">
            <w:pPr>
              <w:pStyle w:val="9"/>
              <w:rPr>
                <w:rFonts w:hint="eastAsia" w:ascii="仿宋_GB2312" w:hAnsi="仿宋_GB2312" w:eastAsia="仿宋_GB2312" w:cs="仿宋_GB2312"/>
                <w:bCs/>
                <w:color w:val="auto"/>
                <w:sz w:val="24"/>
                <w:szCs w:val="24"/>
                <w:highlight w:val="none"/>
              </w:rPr>
            </w:pPr>
          </w:p>
        </w:tc>
      </w:tr>
      <w:tr w14:paraId="5488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4D9DC5D7">
            <w:pPr>
              <w:pStyle w:val="9"/>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p>
        </w:tc>
        <w:tc>
          <w:tcPr>
            <w:tcW w:w="3315" w:type="dxa"/>
          </w:tcPr>
          <w:p w14:paraId="38BBA245">
            <w:pPr>
              <w:pStyle w:val="9"/>
              <w:rPr>
                <w:rFonts w:hint="eastAsia" w:ascii="仿宋_GB2312" w:hAnsi="仿宋_GB2312" w:eastAsia="仿宋_GB2312" w:cs="仿宋_GB2312"/>
                <w:bCs/>
                <w:color w:val="auto"/>
                <w:sz w:val="24"/>
                <w:szCs w:val="24"/>
                <w:highlight w:val="none"/>
              </w:rPr>
            </w:pPr>
          </w:p>
        </w:tc>
        <w:tc>
          <w:tcPr>
            <w:tcW w:w="3316" w:type="dxa"/>
          </w:tcPr>
          <w:p w14:paraId="114D10C1">
            <w:pPr>
              <w:pStyle w:val="9"/>
              <w:rPr>
                <w:rFonts w:hint="eastAsia" w:ascii="仿宋_GB2312" w:hAnsi="仿宋_GB2312" w:eastAsia="仿宋_GB2312" w:cs="仿宋_GB2312"/>
                <w:bCs/>
                <w:color w:val="auto"/>
                <w:sz w:val="24"/>
                <w:szCs w:val="24"/>
                <w:highlight w:val="none"/>
              </w:rPr>
            </w:pPr>
          </w:p>
        </w:tc>
      </w:tr>
    </w:tbl>
    <w:p w14:paraId="10EBA881">
      <w:pPr>
        <w:pStyle w:val="9"/>
        <w:spacing w:before="4"/>
        <w:rPr>
          <w:rFonts w:hint="eastAsia" w:ascii="仿宋_GB2312" w:hAnsi="仿宋_GB2312" w:eastAsia="仿宋_GB2312" w:cs="仿宋_GB2312"/>
          <w:b/>
          <w:color w:val="auto"/>
          <w:sz w:val="24"/>
          <w:szCs w:val="24"/>
          <w:highlight w:val="none"/>
        </w:rPr>
      </w:pPr>
    </w:p>
    <w:p w14:paraId="3BAC21F3">
      <w:pPr>
        <w:spacing w:line="440" w:lineRule="exact"/>
        <w:contextualSpacing/>
        <w:rPr>
          <w:rFonts w:hint="eastAsia" w:ascii="仿宋_GB2312" w:hAnsi="仿宋_GB2312" w:cs="仿宋_GB2312"/>
          <w:color w:val="auto"/>
          <w:position w:val="15"/>
          <w:sz w:val="24"/>
          <w:highlight w:val="none"/>
        </w:rPr>
      </w:pPr>
      <w:r>
        <w:rPr>
          <w:rFonts w:hint="eastAsia" w:ascii="仿宋_GB2312" w:hAnsi="仿宋_GB2312" w:cs="仿宋_GB2312"/>
          <w:color w:val="auto"/>
          <w:position w:val="15"/>
          <w:sz w:val="24"/>
          <w:highlight w:val="none"/>
        </w:rPr>
        <w:t>注：若投标人未按实际情况填写或填写虚假信息或漏填信息，经评标委员会讨论后，应作废标处理。</w:t>
      </w:r>
    </w:p>
    <w:p w14:paraId="559F2CE2">
      <w:pPr>
        <w:spacing w:line="440" w:lineRule="exact"/>
        <w:contextualSpacing/>
        <w:rPr>
          <w:rFonts w:hint="eastAsia" w:ascii="仿宋_GB2312" w:hAnsi="仿宋_GB2312" w:cs="仿宋_GB2312"/>
          <w:color w:val="auto"/>
          <w:position w:val="15"/>
          <w:sz w:val="24"/>
          <w:highlight w:val="none"/>
        </w:rPr>
      </w:pPr>
    </w:p>
    <w:p w14:paraId="5689D07D">
      <w:pPr>
        <w:spacing w:line="440" w:lineRule="exact"/>
        <w:contextualSpacing/>
        <w:rPr>
          <w:rFonts w:hint="eastAsia" w:ascii="仿宋_GB2312" w:hAnsi="仿宋_GB2312" w:cs="仿宋_GB2312"/>
          <w:color w:val="auto"/>
          <w:position w:val="15"/>
          <w:sz w:val="24"/>
          <w:highlight w:val="none"/>
        </w:rPr>
      </w:pPr>
      <w:r>
        <w:rPr>
          <w:rFonts w:hint="eastAsia" w:ascii="仿宋_GB2312" w:hAnsi="仿宋_GB2312" w:cs="仿宋_GB2312"/>
          <w:color w:val="auto"/>
          <w:position w:val="15"/>
          <w:sz w:val="24"/>
          <w:highlight w:val="none"/>
        </w:rPr>
        <w:t>投标人（盖公章）：</w:t>
      </w:r>
    </w:p>
    <w:p w14:paraId="001024F4">
      <w:pPr>
        <w:spacing w:line="440" w:lineRule="exact"/>
        <w:contextualSpacing/>
        <w:rPr>
          <w:rFonts w:hint="eastAsia" w:ascii="仿宋_GB2312" w:hAnsi="仿宋_GB2312" w:cs="仿宋_GB2312"/>
          <w:color w:val="auto"/>
          <w:position w:val="15"/>
          <w:sz w:val="24"/>
          <w:highlight w:val="none"/>
        </w:rPr>
      </w:pPr>
      <w:r>
        <w:rPr>
          <w:rFonts w:hint="eastAsia" w:ascii="仿宋_GB2312" w:hAnsi="仿宋_GB2312" w:cs="仿宋_GB2312"/>
          <w:color w:val="auto"/>
          <w:position w:val="15"/>
          <w:sz w:val="24"/>
          <w:highlight w:val="none"/>
        </w:rPr>
        <w:t xml:space="preserve">法定代表人或其委托代理人（签字或盖章）： </w:t>
      </w:r>
    </w:p>
    <w:p w14:paraId="06665A71">
      <w:pPr>
        <w:rPr>
          <w:rFonts w:hint="eastAsia" w:ascii="仿宋_GB2312" w:hAnsi="仿宋_GB2312" w:cs="仿宋_GB2312"/>
          <w:b/>
          <w:color w:val="auto"/>
          <w:kern w:val="0"/>
          <w:sz w:val="24"/>
          <w:highlight w:val="none"/>
        </w:rPr>
      </w:pPr>
      <w:r>
        <w:rPr>
          <w:rFonts w:hint="eastAsia" w:ascii="仿宋_GB2312" w:hAnsi="仿宋_GB2312" w:cs="仿宋_GB2312"/>
          <w:color w:val="auto"/>
          <w:position w:val="15"/>
          <w:sz w:val="24"/>
          <w:highlight w:val="none"/>
        </w:rPr>
        <w:t>日期：</w:t>
      </w:r>
      <w:r>
        <w:rPr>
          <w:rFonts w:hint="eastAsia" w:ascii="仿宋_GB2312" w:hAnsi="仿宋_GB2312" w:cs="仿宋_GB2312"/>
          <w:color w:val="auto"/>
          <w:position w:val="15"/>
          <w:sz w:val="24"/>
          <w:highlight w:val="none"/>
        </w:rPr>
        <w:tab/>
      </w:r>
      <w:r>
        <w:rPr>
          <w:rFonts w:hint="eastAsia" w:ascii="仿宋_GB2312" w:hAnsi="仿宋_GB2312" w:cs="仿宋_GB2312"/>
          <w:color w:val="auto"/>
          <w:position w:val="15"/>
          <w:sz w:val="24"/>
          <w:highlight w:val="none"/>
        </w:rPr>
        <w:t>年</w:t>
      </w:r>
      <w:r>
        <w:rPr>
          <w:rFonts w:hint="eastAsia" w:ascii="仿宋_GB2312" w:hAnsi="仿宋_GB2312" w:cs="仿宋_GB2312"/>
          <w:color w:val="auto"/>
          <w:position w:val="15"/>
          <w:sz w:val="24"/>
          <w:highlight w:val="none"/>
        </w:rPr>
        <w:tab/>
      </w:r>
      <w:r>
        <w:rPr>
          <w:rFonts w:hint="eastAsia" w:ascii="仿宋_GB2312" w:hAnsi="仿宋_GB2312" w:cs="仿宋_GB2312"/>
          <w:color w:val="auto"/>
          <w:position w:val="15"/>
          <w:sz w:val="24"/>
          <w:highlight w:val="none"/>
        </w:rPr>
        <w:t>月</w:t>
      </w:r>
      <w:r>
        <w:rPr>
          <w:rFonts w:hint="eastAsia" w:ascii="仿宋_GB2312" w:hAnsi="仿宋_GB2312" w:cs="仿宋_GB2312"/>
          <w:color w:val="auto"/>
          <w:position w:val="15"/>
          <w:sz w:val="24"/>
          <w:highlight w:val="none"/>
        </w:rPr>
        <w:tab/>
      </w:r>
      <w:r>
        <w:rPr>
          <w:rFonts w:hint="eastAsia" w:ascii="仿宋_GB2312" w:hAnsi="仿宋_GB2312" w:cs="仿宋_GB2312"/>
          <w:color w:val="auto"/>
          <w:position w:val="15"/>
          <w:sz w:val="24"/>
          <w:highlight w:val="none"/>
        </w:rPr>
        <w:t>日</w:t>
      </w:r>
    </w:p>
    <w:p w14:paraId="1FA86491">
      <w:pPr>
        <w:rPr>
          <w:rFonts w:hint="eastAsia" w:ascii="宋体" w:hAnsi="宋体" w:eastAsia="宋体" w:cs="宋体"/>
          <w:color w:val="auto"/>
          <w:highlight w:val="none"/>
        </w:rPr>
      </w:pPr>
    </w:p>
    <w:p w14:paraId="1A26C2B3">
      <w:pPr>
        <w:snapToGrid w:val="0"/>
        <w:spacing w:line="360" w:lineRule="auto"/>
        <w:jc w:val="center"/>
        <w:outlineLvl w:val="1"/>
        <w:rPr>
          <w:rFonts w:cs="仿宋_GB2312"/>
          <w:color w:val="auto"/>
          <w:sz w:val="24"/>
          <w:highlight w:val="none"/>
        </w:rPr>
      </w:pPr>
    </w:p>
    <w:p w14:paraId="5C07FAE2">
      <w:pPr>
        <w:pStyle w:val="2"/>
        <w:rPr>
          <w:rFonts w:ascii="Times New Roman" w:hAnsi="Times New Roman" w:cs="仿宋_GB2312"/>
          <w:color w:val="auto"/>
          <w:sz w:val="24"/>
          <w:szCs w:val="24"/>
          <w:highlight w:val="none"/>
        </w:rPr>
      </w:pPr>
    </w:p>
    <w:p w14:paraId="3930903C">
      <w:pPr>
        <w:rPr>
          <w:rFonts w:cs="仿宋_GB2312"/>
          <w:color w:val="auto"/>
          <w:sz w:val="24"/>
          <w:highlight w:val="none"/>
        </w:rPr>
      </w:pPr>
    </w:p>
    <w:p w14:paraId="171A295D">
      <w:pPr>
        <w:rPr>
          <w:color w:val="auto"/>
          <w:highlight w:val="none"/>
        </w:rPr>
      </w:pPr>
    </w:p>
    <w:bookmarkEnd w:id="139"/>
    <w:p w14:paraId="61B186E9">
      <w:pPr>
        <w:snapToGrid w:val="0"/>
        <w:spacing w:line="360" w:lineRule="auto"/>
        <w:ind w:firstLine="482" w:firstLineChars="200"/>
        <w:jc w:val="center"/>
        <w:outlineLvl w:val="2"/>
        <w:rPr>
          <w:rFonts w:cs="仿宋_GB2312"/>
          <w:b/>
          <w:bCs/>
          <w:color w:val="auto"/>
          <w:sz w:val="24"/>
          <w:highlight w:val="none"/>
        </w:rPr>
      </w:pPr>
      <w:bookmarkStart w:id="140" w:name="_Toc22467"/>
      <w:r>
        <w:rPr>
          <w:rFonts w:hint="eastAsia" w:cs="仿宋_GB2312"/>
          <w:b/>
          <w:bCs/>
          <w:color w:val="auto"/>
          <w:sz w:val="24"/>
          <w:highlight w:val="none"/>
        </w:rPr>
        <w:t>三、投标人近5年类似业绩情况表</w:t>
      </w:r>
      <w:bookmarkEnd w:id="140"/>
    </w:p>
    <w:p w14:paraId="72918656">
      <w:pPr>
        <w:pStyle w:val="9"/>
        <w:jc w:val="center"/>
        <w:rPr>
          <w:rFonts w:eastAsia="仿宋_GB2312" w:cs="仿宋_GB2312"/>
          <w:color w:val="auto"/>
          <w:sz w:val="24"/>
          <w:szCs w:val="24"/>
          <w:highlight w:val="none"/>
        </w:rPr>
      </w:pPr>
      <w:r>
        <w:rPr>
          <w:rFonts w:hint="eastAsia" w:eastAsia="仿宋_GB2312" w:cs="仿宋_GB2312"/>
          <w:color w:val="auto"/>
          <w:sz w:val="24"/>
          <w:szCs w:val="24"/>
          <w:highlight w:val="none"/>
        </w:rPr>
        <w:t xml:space="preserve"> 投标人自2020年1月1日以来（以合同签订时间为准），具有与本项目类似的生活垃圾焚烧行业垃圾吊改造服务业绩</w:t>
      </w:r>
    </w:p>
    <w:tbl>
      <w:tblPr>
        <w:tblStyle w:val="26"/>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37674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3DB8E72">
            <w:pPr>
              <w:adjustRightInd w:val="0"/>
              <w:snapToGrid w:val="0"/>
              <w:spacing w:line="360" w:lineRule="exact"/>
              <w:jc w:val="center"/>
              <w:rPr>
                <w:rFonts w:cs="仿宋_GB2312"/>
                <w:color w:val="auto"/>
                <w:sz w:val="24"/>
                <w:highlight w:val="none"/>
              </w:rPr>
            </w:pPr>
            <w:r>
              <w:rPr>
                <w:rFonts w:hint="eastAsia" w:cs="仿宋_GB2312"/>
                <w:color w:val="auto"/>
                <w:sz w:val="24"/>
                <w:highlight w:val="none"/>
              </w:rPr>
              <w:t>序号</w:t>
            </w:r>
          </w:p>
        </w:tc>
        <w:tc>
          <w:tcPr>
            <w:tcW w:w="1417" w:type="dxa"/>
            <w:shd w:val="clear" w:color="auto" w:fill="auto"/>
            <w:vAlign w:val="center"/>
          </w:tcPr>
          <w:p w14:paraId="28F49956">
            <w:pPr>
              <w:adjustRightInd w:val="0"/>
              <w:snapToGrid w:val="0"/>
              <w:spacing w:line="360" w:lineRule="exact"/>
              <w:jc w:val="center"/>
              <w:rPr>
                <w:rFonts w:cs="仿宋_GB2312"/>
                <w:color w:val="auto"/>
                <w:sz w:val="24"/>
                <w:highlight w:val="none"/>
              </w:rPr>
            </w:pPr>
            <w:r>
              <w:rPr>
                <w:rFonts w:hint="eastAsia" w:cs="仿宋_GB2312"/>
                <w:color w:val="auto"/>
                <w:sz w:val="24"/>
                <w:highlight w:val="none"/>
              </w:rPr>
              <w:t>采购人名称</w:t>
            </w:r>
          </w:p>
        </w:tc>
        <w:tc>
          <w:tcPr>
            <w:tcW w:w="1134" w:type="dxa"/>
            <w:shd w:val="clear" w:color="auto" w:fill="auto"/>
            <w:vAlign w:val="center"/>
          </w:tcPr>
          <w:p w14:paraId="4AAB3DA0">
            <w:pPr>
              <w:adjustRightInd w:val="0"/>
              <w:snapToGrid w:val="0"/>
              <w:spacing w:line="360" w:lineRule="exact"/>
              <w:jc w:val="center"/>
              <w:rPr>
                <w:rFonts w:cs="仿宋_GB2312"/>
                <w:color w:val="auto"/>
                <w:sz w:val="24"/>
                <w:highlight w:val="none"/>
              </w:rPr>
            </w:pPr>
            <w:r>
              <w:rPr>
                <w:rFonts w:hint="eastAsia" w:cs="仿宋_GB2312"/>
                <w:color w:val="auto"/>
                <w:sz w:val="24"/>
                <w:highlight w:val="none"/>
              </w:rPr>
              <w:t>项目名称</w:t>
            </w:r>
          </w:p>
        </w:tc>
        <w:tc>
          <w:tcPr>
            <w:tcW w:w="1126" w:type="dxa"/>
            <w:shd w:val="clear" w:color="auto" w:fill="auto"/>
            <w:vAlign w:val="center"/>
          </w:tcPr>
          <w:p w14:paraId="2668049C">
            <w:pPr>
              <w:adjustRightInd w:val="0"/>
              <w:snapToGrid w:val="0"/>
              <w:spacing w:line="360" w:lineRule="exact"/>
              <w:jc w:val="center"/>
              <w:rPr>
                <w:rFonts w:cs="仿宋_GB2312"/>
                <w:color w:val="auto"/>
                <w:sz w:val="24"/>
                <w:highlight w:val="none"/>
              </w:rPr>
            </w:pPr>
            <w:r>
              <w:rPr>
                <w:rFonts w:hint="eastAsia" w:cs="仿宋_GB2312"/>
                <w:color w:val="auto"/>
                <w:sz w:val="24"/>
                <w:highlight w:val="none"/>
              </w:rPr>
              <w:t>合同金额</w:t>
            </w:r>
          </w:p>
        </w:tc>
        <w:tc>
          <w:tcPr>
            <w:tcW w:w="1125" w:type="dxa"/>
            <w:shd w:val="clear" w:color="auto" w:fill="auto"/>
            <w:vAlign w:val="center"/>
          </w:tcPr>
          <w:p w14:paraId="7F859435">
            <w:pPr>
              <w:adjustRightInd w:val="0"/>
              <w:snapToGrid w:val="0"/>
              <w:spacing w:line="360" w:lineRule="exact"/>
              <w:jc w:val="center"/>
              <w:rPr>
                <w:rFonts w:cs="仿宋_GB2312"/>
                <w:color w:val="auto"/>
                <w:sz w:val="24"/>
                <w:highlight w:val="none"/>
              </w:rPr>
            </w:pPr>
            <w:r>
              <w:rPr>
                <w:rFonts w:hint="eastAsia" w:cs="仿宋_GB2312"/>
                <w:color w:val="auto"/>
                <w:sz w:val="24"/>
                <w:highlight w:val="none"/>
              </w:rPr>
              <w:t>签约日期</w:t>
            </w:r>
          </w:p>
        </w:tc>
        <w:tc>
          <w:tcPr>
            <w:tcW w:w="850" w:type="dxa"/>
            <w:shd w:val="clear" w:color="auto" w:fill="auto"/>
            <w:vAlign w:val="center"/>
          </w:tcPr>
          <w:p w14:paraId="4293B6A8">
            <w:pPr>
              <w:adjustRightInd w:val="0"/>
              <w:snapToGrid w:val="0"/>
              <w:spacing w:line="360" w:lineRule="exact"/>
              <w:jc w:val="center"/>
              <w:rPr>
                <w:rFonts w:cs="仿宋_GB2312"/>
                <w:color w:val="auto"/>
                <w:sz w:val="24"/>
                <w:highlight w:val="none"/>
              </w:rPr>
            </w:pPr>
            <w:r>
              <w:rPr>
                <w:rFonts w:hint="eastAsia" w:cs="仿宋_GB2312"/>
                <w:color w:val="auto"/>
                <w:sz w:val="24"/>
                <w:highlight w:val="none"/>
              </w:rPr>
              <w:t>联系人</w:t>
            </w:r>
          </w:p>
        </w:tc>
        <w:tc>
          <w:tcPr>
            <w:tcW w:w="1134" w:type="dxa"/>
            <w:shd w:val="clear" w:color="auto" w:fill="auto"/>
            <w:vAlign w:val="center"/>
          </w:tcPr>
          <w:p w14:paraId="37D3192F">
            <w:pPr>
              <w:adjustRightInd w:val="0"/>
              <w:snapToGrid w:val="0"/>
              <w:spacing w:line="360" w:lineRule="exact"/>
              <w:jc w:val="center"/>
              <w:rPr>
                <w:rFonts w:cs="仿宋_GB2312"/>
                <w:color w:val="auto"/>
                <w:sz w:val="24"/>
                <w:highlight w:val="none"/>
              </w:rPr>
            </w:pPr>
            <w:r>
              <w:rPr>
                <w:rFonts w:hint="eastAsia" w:cs="仿宋_GB2312"/>
                <w:color w:val="auto"/>
                <w:sz w:val="24"/>
                <w:highlight w:val="none"/>
              </w:rPr>
              <w:t>联系电话</w:t>
            </w:r>
          </w:p>
        </w:tc>
        <w:tc>
          <w:tcPr>
            <w:tcW w:w="1152" w:type="dxa"/>
            <w:shd w:val="clear" w:color="auto" w:fill="D9D9D9"/>
            <w:vAlign w:val="center"/>
          </w:tcPr>
          <w:p w14:paraId="3879E4DC">
            <w:pPr>
              <w:adjustRightInd w:val="0"/>
              <w:snapToGrid w:val="0"/>
              <w:spacing w:line="360" w:lineRule="exact"/>
              <w:jc w:val="center"/>
              <w:rPr>
                <w:rFonts w:cs="仿宋_GB2312"/>
                <w:color w:val="auto"/>
                <w:sz w:val="24"/>
                <w:highlight w:val="none"/>
              </w:rPr>
            </w:pPr>
            <w:r>
              <w:rPr>
                <w:rFonts w:hint="eastAsia" w:cs="仿宋_GB2312"/>
                <w:color w:val="auto"/>
                <w:sz w:val="24"/>
                <w:highlight w:val="none"/>
              </w:rPr>
              <w:t>合同证明文件所在页码</w:t>
            </w:r>
          </w:p>
        </w:tc>
        <w:tc>
          <w:tcPr>
            <w:tcW w:w="646" w:type="dxa"/>
            <w:vAlign w:val="center"/>
          </w:tcPr>
          <w:p w14:paraId="374D9C05">
            <w:pPr>
              <w:adjustRightInd w:val="0"/>
              <w:snapToGrid w:val="0"/>
              <w:spacing w:line="360" w:lineRule="exact"/>
              <w:jc w:val="center"/>
              <w:rPr>
                <w:rFonts w:cs="仿宋_GB2312"/>
                <w:color w:val="auto"/>
                <w:sz w:val="24"/>
                <w:highlight w:val="none"/>
              </w:rPr>
            </w:pPr>
            <w:r>
              <w:rPr>
                <w:rFonts w:hint="eastAsia" w:cs="仿宋_GB2312"/>
                <w:color w:val="auto"/>
                <w:sz w:val="24"/>
                <w:highlight w:val="none"/>
              </w:rPr>
              <w:t>备注</w:t>
            </w:r>
          </w:p>
        </w:tc>
      </w:tr>
      <w:tr w14:paraId="38581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0E7E432">
            <w:pPr>
              <w:spacing w:line="360" w:lineRule="auto"/>
              <w:jc w:val="center"/>
              <w:rPr>
                <w:rFonts w:cs="仿宋_GB2312"/>
                <w:color w:val="auto"/>
                <w:spacing w:val="20"/>
                <w:sz w:val="24"/>
                <w:highlight w:val="none"/>
              </w:rPr>
            </w:pPr>
          </w:p>
        </w:tc>
        <w:tc>
          <w:tcPr>
            <w:tcW w:w="1417" w:type="dxa"/>
            <w:shd w:val="clear" w:color="auto" w:fill="auto"/>
            <w:vAlign w:val="center"/>
          </w:tcPr>
          <w:p w14:paraId="2B2A160D">
            <w:pPr>
              <w:spacing w:line="360" w:lineRule="auto"/>
              <w:jc w:val="center"/>
              <w:rPr>
                <w:rFonts w:cs="仿宋_GB2312"/>
                <w:color w:val="auto"/>
                <w:spacing w:val="20"/>
                <w:sz w:val="24"/>
                <w:highlight w:val="none"/>
              </w:rPr>
            </w:pPr>
          </w:p>
        </w:tc>
        <w:tc>
          <w:tcPr>
            <w:tcW w:w="1134" w:type="dxa"/>
            <w:shd w:val="clear" w:color="auto" w:fill="auto"/>
            <w:vAlign w:val="center"/>
          </w:tcPr>
          <w:p w14:paraId="089CB9EE">
            <w:pPr>
              <w:spacing w:line="360" w:lineRule="auto"/>
              <w:jc w:val="center"/>
              <w:rPr>
                <w:rFonts w:cs="仿宋_GB2312"/>
                <w:color w:val="auto"/>
                <w:spacing w:val="20"/>
                <w:sz w:val="24"/>
                <w:highlight w:val="none"/>
              </w:rPr>
            </w:pPr>
          </w:p>
        </w:tc>
        <w:tc>
          <w:tcPr>
            <w:tcW w:w="1126" w:type="dxa"/>
            <w:shd w:val="clear" w:color="auto" w:fill="auto"/>
            <w:vAlign w:val="center"/>
          </w:tcPr>
          <w:p w14:paraId="7F95A4B1">
            <w:pPr>
              <w:spacing w:line="360" w:lineRule="auto"/>
              <w:jc w:val="center"/>
              <w:rPr>
                <w:rFonts w:cs="仿宋_GB2312"/>
                <w:color w:val="auto"/>
                <w:spacing w:val="20"/>
                <w:sz w:val="24"/>
                <w:highlight w:val="none"/>
              </w:rPr>
            </w:pPr>
          </w:p>
        </w:tc>
        <w:tc>
          <w:tcPr>
            <w:tcW w:w="1125" w:type="dxa"/>
            <w:shd w:val="clear" w:color="auto" w:fill="auto"/>
            <w:vAlign w:val="center"/>
          </w:tcPr>
          <w:p w14:paraId="2ADC1436">
            <w:pPr>
              <w:spacing w:line="360" w:lineRule="auto"/>
              <w:jc w:val="center"/>
              <w:rPr>
                <w:rFonts w:cs="仿宋_GB2312"/>
                <w:color w:val="auto"/>
                <w:spacing w:val="20"/>
                <w:sz w:val="24"/>
                <w:highlight w:val="none"/>
              </w:rPr>
            </w:pPr>
          </w:p>
        </w:tc>
        <w:tc>
          <w:tcPr>
            <w:tcW w:w="850" w:type="dxa"/>
            <w:shd w:val="clear" w:color="auto" w:fill="auto"/>
            <w:vAlign w:val="center"/>
          </w:tcPr>
          <w:p w14:paraId="58002379">
            <w:pPr>
              <w:spacing w:line="360" w:lineRule="auto"/>
              <w:jc w:val="center"/>
              <w:rPr>
                <w:rFonts w:cs="仿宋_GB2312"/>
                <w:color w:val="auto"/>
                <w:spacing w:val="20"/>
                <w:sz w:val="24"/>
                <w:highlight w:val="none"/>
              </w:rPr>
            </w:pPr>
          </w:p>
        </w:tc>
        <w:tc>
          <w:tcPr>
            <w:tcW w:w="1134" w:type="dxa"/>
            <w:shd w:val="clear" w:color="auto" w:fill="auto"/>
            <w:vAlign w:val="center"/>
          </w:tcPr>
          <w:p w14:paraId="185DBA37">
            <w:pPr>
              <w:spacing w:line="360" w:lineRule="auto"/>
              <w:jc w:val="center"/>
              <w:rPr>
                <w:rFonts w:cs="仿宋_GB2312"/>
                <w:color w:val="auto"/>
                <w:spacing w:val="20"/>
                <w:sz w:val="24"/>
                <w:highlight w:val="none"/>
              </w:rPr>
            </w:pPr>
          </w:p>
        </w:tc>
        <w:tc>
          <w:tcPr>
            <w:tcW w:w="1152" w:type="dxa"/>
            <w:shd w:val="clear" w:color="auto" w:fill="D9D9D9"/>
            <w:vAlign w:val="center"/>
          </w:tcPr>
          <w:p w14:paraId="5EBDA0FA">
            <w:pPr>
              <w:spacing w:line="360" w:lineRule="auto"/>
              <w:jc w:val="center"/>
              <w:rPr>
                <w:rFonts w:cs="仿宋_GB2312"/>
                <w:color w:val="auto"/>
                <w:spacing w:val="20"/>
                <w:sz w:val="24"/>
                <w:highlight w:val="none"/>
              </w:rPr>
            </w:pPr>
          </w:p>
        </w:tc>
        <w:tc>
          <w:tcPr>
            <w:tcW w:w="646" w:type="dxa"/>
            <w:vAlign w:val="center"/>
          </w:tcPr>
          <w:p w14:paraId="2BD57E39">
            <w:pPr>
              <w:spacing w:line="360" w:lineRule="auto"/>
              <w:jc w:val="center"/>
              <w:rPr>
                <w:rFonts w:cs="仿宋_GB2312"/>
                <w:color w:val="auto"/>
                <w:spacing w:val="20"/>
                <w:sz w:val="24"/>
                <w:highlight w:val="none"/>
              </w:rPr>
            </w:pPr>
          </w:p>
        </w:tc>
      </w:tr>
      <w:tr w14:paraId="29D2B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709" w:type="dxa"/>
            <w:shd w:val="clear" w:color="auto" w:fill="auto"/>
            <w:vAlign w:val="center"/>
          </w:tcPr>
          <w:p w14:paraId="2776A4C7">
            <w:pPr>
              <w:spacing w:line="360" w:lineRule="auto"/>
              <w:jc w:val="center"/>
              <w:rPr>
                <w:rFonts w:cs="仿宋_GB2312"/>
                <w:color w:val="auto"/>
                <w:spacing w:val="20"/>
                <w:sz w:val="24"/>
                <w:highlight w:val="none"/>
              </w:rPr>
            </w:pPr>
          </w:p>
        </w:tc>
        <w:tc>
          <w:tcPr>
            <w:tcW w:w="1417" w:type="dxa"/>
            <w:shd w:val="clear" w:color="auto" w:fill="auto"/>
            <w:vAlign w:val="center"/>
          </w:tcPr>
          <w:p w14:paraId="0D9C2B9B">
            <w:pPr>
              <w:spacing w:line="360" w:lineRule="auto"/>
              <w:jc w:val="center"/>
              <w:rPr>
                <w:rFonts w:cs="仿宋_GB2312"/>
                <w:color w:val="auto"/>
                <w:spacing w:val="20"/>
                <w:sz w:val="24"/>
                <w:highlight w:val="none"/>
              </w:rPr>
            </w:pPr>
          </w:p>
        </w:tc>
        <w:tc>
          <w:tcPr>
            <w:tcW w:w="1134" w:type="dxa"/>
            <w:shd w:val="clear" w:color="auto" w:fill="auto"/>
            <w:vAlign w:val="center"/>
          </w:tcPr>
          <w:p w14:paraId="3B418D76">
            <w:pPr>
              <w:spacing w:line="360" w:lineRule="auto"/>
              <w:jc w:val="center"/>
              <w:rPr>
                <w:rFonts w:cs="仿宋_GB2312"/>
                <w:color w:val="auto"/>
                <w:spacing w:val="20"/>
                <w:sz w:val="24"/>
                <w:highlight w:val="none"/>
              </w:rPr>
            </w:pPr>
          </w:p>
        </w:tc>
        <w:tc>
          <w:tcPr>
            <w:tcW w:w="1126" w:type="dxa"/>
            <w:shd w:val="clear" w:color="auto" w:fill="auto"/>
            <w:vAlign w:val="center"/>
          </w:tcPr>
          <w:p w14:paraId="5CDCAB87">
            <w:pPr>
              <w:spacing w:line="360" w:lineRule="auto"/>
              <w:jc w:val="center"/>
              <w:rPr>
                <w:rFonts w:cs="仿宋_GB2312"/>
                <w:color w:val="auto"/>
                <w:spacing w:val="20"/>
                <w:sz w:val="24"/>
                <w:highlight w:val="none"/>
              </w:rPr>
            </w:pPr>
          </w:p>
        </w:tc>
        <w:tc>
          <w:tcPr>
            <w:tcW w:w="1125" w:type="dxa"/>
            <w:shd w:val="clear" w:color="auto" w:fill="auto"/>
            <w:vAlign w:val="center"/>
          </w:tcPr>
          <w:p w14:paraId="18AD34B5">
            <w:pPr>
              <w:spacing w:line="360" w:lineRule="auto"/>
              <w:jc w:val="center"/>
              <w:rPr>
                <w:rFonts w:cs="仿宋_GB2312"/>
                <w:color w:val="auto"/>
                <w:spacing w:val="20"/>
                <w:sz w:val="24"/>
                <w:highlight w:val="none"/>
              </w:rPr>
            </w:pPr>
          </w:p>
        </w:tc>
        <w:tc>
          <w:tcPr>
            <w:tcW w:w="850" w:type="dxa"/>
            <w:shd w:val="clear" w:color="auto" w:fill="auto"/>
            <w:vAlign w:val="center"/>
          </w:tcPr>
          <w:p w14:paraId="47CBD55A">
            <w:pPr>
              <w:spacing w:line="360" w:lineRule="auto"/>
              <w:jc w:val="center"/>
              <w:rPr>
                <w:rFonts w:cs="仿宋_GB2312"/>
                <w:color w:val="auto"/>
                <w:spacing w:val="20"/>
                <w:sz w:val="24"/>
                <w:highlight w:val="none"/>
              </w:rPr>
            </w:pPr>
          </w:p>
        </w:tc>
        <w:tc>
          <w:tcPr>
            <w:tcW w:w="1134" w:type="dxa"/>
            <w:shd w:val="clear" w:color="auto" w:fill="auto"/>
            <w:vAlign w:val="center"/>
          </w:tcPr>
          <w:p w14:paraId="71C4B01D">
            <w:pPr>
              <w:spacing w:line="360" w:lineRule="auto"/>
              <w:jc w:val="center"/>
              <w:rPr>
                <w:rFonts w:cs="仿宋_GB2312"/>
                <w:color w:val="auto"/>
                <w:spacing w:val="20"/>
                <w:sz w:val="24"/>
                <w:highlight w:val="none"/>
              </w:rPr>
            </w:pPr>
          </w:p>
        </w:tc>
        <w:tc>
          <w:tcPr>
            <w:tcW w:w="1152" w:type="dxa"/>
            <w:shd w:val="clear" w:color="auto" w:fill="D9D9D9"/>
            <w:vAlign w:val="center"/>
          </w:tcPr>
          <w:p w14:paraId="21A5413F">
            <w:pPr>
              <w:spacing w:line="360" w:lineRule="auto"/>
              <w:jc w:val="center"/>
              <w:rPr>
                <w:rFonts w:cs="仿宋_GB2312"/>
                <w:color w:val="auto"/>
                <w:spacing w:val="20"/>
                <w:sz w:val="24"/>
                <w:highlight w:val="none"/>
              </w:rPr>
            </w:pPr>
          </w:p>
        </w:tc>
        <w:tc>
          <w:tcPr>
            <w:tcW w:w="646" w:type="dxa"/>
            <w:vAlign w:val="center"/>
          </w:tcPr>
          <w:p w14:paraId="5BC4D957">
            <w:pPr>
              <w:spacing w:line="360" w:lineRule="auto"/>
              <w:jc w:val="center"/>
              <w:rPr>
                <w:rFonts w:cs="仿宋_GB2312"/>
                <w:color w:val="auto"/>
                <w:spacing w:val="20"/>
                <w:sz w:val="24"/>
                <w:highlight w:val="none"/>
              </w:rPr>
            </w:pPr>
          </w:p>
        </w:tc>
      </w:tr>
      <w:tr w14:paraId="1514E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37964E9">
            <w:pPr>
              <w:spacing w:line="360" w:lineRule="auto"/>
              <w:jc w:val="center"/>
              <w:rPr>
                <w:rFonts w:cs="仿宋_GB2312"/>
                <w:color w:val="auto"/>
                <w:spacing w:val="20"/>
                <w:sz w:val="24"/>
                <w:highlight w:val="none"/>
              </w:rPr>
            </w:pPr>
          </w:p>
        </w:tc>
        <w:tc>
          <w:tcPr>
            <w:tcW w:w="1417" w:type="dxa"/>
            <w:shd w:val="clear" w:color="auto" w:fill="auto"/>
            <w:vAlign w:val="center"/>
          </w:tcPr>
          <w:p w14:paraId="3320EB4E">
            <w:pPr>
              <w:spacing w:line="360" w:lineRule="auto"/>
              <w:jc w:val="center"/>
              <w:rPr>
                <w:rFonts w:cs="仿宋_GB2312"/>
                <w:color w:val="auto"/>
                <w:spacing w:val="20"/>
                <w:sz w:val="24"/>
                <w:highlight w:val="none"/>
              </w:rPr>
            </w:pPr>
          </w:p>
        </w:tc>
        <w:tc>
          <w:tcPr>
            <w:tcW w:w="1134" w:type="dxa"/>
            <w:shd w:val="clear" w:color="auto" w:fill="auto"/>
            <w:vAlign w:val="center"/>
          </w:tcPr>
          <w:p w14:paraId="10EFCCB5">
            <w:pPr>
              <w:spacing w:line="360" w:lineRule="auto"/>
              <w:jc w:val="center"/>
              <w:rPr>
                <w:rFonts w:cs="仿宋_GB2312"/>
                <w:color w:val="auto"/>
                <w:spacing w:val="20"/>
                <w:sz w:val="24"/>
                <w:highlight w:val="none"/>
              </w:rPr>
            </w:pPr>
          </w:p>
        </w:tc>
        <w:tc>
          <w:tcPr>
            <w:tcW w:w="1126" w:type="dxa"/>
            <w:shd w:val="clear" w:color="auto" w:fill="auto"/>
            <w:vAlign w:val="center"/>
          </w:tcPr>
          <w:p w14:paraId="5A8CE629">
            <w:pPr>
              <w:spacing w:line="360" w:lineRule="auto"/>
              <w:jc w:val="center"/>
              <w:rPr>
                <w:rFonts w:cs="仿宋_GB2312"/>
                <w:color w:val="auto"/>
                <w:spacing w:val="20"/>
                <w:sz w:val="24"/>
                <w:highlight w:val="none"/>
              </w:rPr>
            </w:pPr>
          </w:p>
        </w:tc>
        <w:tc>
          <w:tcPr>
            <w:tcW w:w="1125" w:type="dxa"/>
            <w:shd w:val="clear" w:color="auto" w:fill="auto"/>
            <w:vAlign w:val="center"/>
          </w:tcPr>
          <w:p w14:paraId="6A66ABC0">
            <w:pPr>
              <w:spacing w:line="360" w:lineRule="auto"/>
              <w:jc w:val="center"/>
              <w:rPr>
                <w:rFonts w:cs="仿宋_GB2312"/>
                <w:color w:val="auto"/>
                <w:spacing w:val="20"/>
                <w:sz w:val="24"/>
                <w:highlight w:val="none"/>
              </w:rPr>
            </w:pPr>
          </w:p>
        </w:tc>
        <w:tc>
          <w:tcPr>
            <w:tcW w:w="850" w:type="dxa"/>
            <w:shd w:val="clear" w:color="auto" w:fill="auto"/>
            <w:vAlign w:val="center"/>
          </w:tcPr>
          <w:p w14:paraId="7FD7E46D">
            <w:pPr>
              <w:spacing w:line="360" w:lineRule="auto"/>
              <w:jc w:val="center"/>
              <w:rPr>
                <w:rFonts w:cs="仿宋_GB2312"/>
                <w:color w:val="auto"/>
                <w:spacing w:val="20"/>
                <w:sz w:val="24"/>
                <w:highlight w:val="none"/>
              </w:rPr>
            </w:pPr>
          </w:p>
        </w:tc>
        <w:tc>
          <w:tcPr>
            <w:tcW w:w="1134" w:type="dxa"/>
            <w:shd w:val="clear" w:color="auto" w:fill="auto"/>
            <w:vAlign w:val="center"/>
          </w:tcPr>
          <w:p w14:paraId="18631738">
            <w:pPr>
              <w:spacing w:line="360" w:lineRule="auto"/>
              <w:jc w:val="center"/>
              <w:rPr>
                <w:rFonts w:cs="仿宋_GB2312"/>
                <w:color w:val="auto"/>
                <w:spacing w:val="20"/>
                <w:sz w:val="24"/>
                <w:highlight w:val="none"/>
              </w:rPr>
            </w:pPr>
          </w:p>
        </w:tc>
        <w:tc>
          <w:tcPr>
            <w:tcW w:w="1152" w:type="dxa"/>
            <w:shd w:val="clear" w:color="auto" w:fill="D9D9D9"/>
            <w:vAlign w:val="center"/>
          </w:tcPr>
          <w:p w14:paraId="2C7E8F4B">
            <w:pPr>
              <w:spacing w:line="360" w:lineRule="auto"/>
              <w:jc w:val="center"/>
              <w:rPr>
                <w:rFonts w:cs="仿宋_GB2312"/>
                <w:color w:val="auto"/>
                <w:spacing w:val="20"/>
                <w:sz w:val="24"/>
                <w:highlight w:val="none"/>
              </w:rPr>
            </w:pPr>
          </w:p>
        </w:tc>
        <w:tc>
          <w:tcPr>
            <w:tcW w:w="646" w:type="dxa"/>
            <w:vAlign w:val="center"/>
          </w:tcPr>
          <w:p w14:paraId="0E4C02D2">
            <w:pPr>
              <w:spacing w:line="360" w:lineRule="auto"/>
              <w:jc w:val="center"/>
              <w:rPr>
                <w:rFonts w:cs="仿宋_GB2312"/>
                <w:color w:val="auto"/>
                <w:spacing w:val="20"/>
                <w:sz w:val="24"/>
                <w:highlight w:val="none"/>
              </w:rPr>
            </w:pPr>
          </w:p>
        </w:tc>
      </w:tr>
      <w:tr w14:paraId="0F3AC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EB696C0">
            <w:pPr>
              <w:spacing w:line="360" w:lineRule="auto"/>
              <w:jc w:val="center"/>
              <w:rPr>
                <w:rFonts w:cs="仿宋_GB2312"/>
                <w:color w:val="auto"/>
                <w:spacing w:val="20"/>
                <w:sz w:val="24"/>
                <w:highlight w:val="none"/>
              </w:rPr>
            </w:pPr>
          </w:p>
        </w:tc>
        <w:tc>
          <w:tcPr>
            <w:tcW w:w="1417" w:type="dxa"/>
            <w:shd w:val="clear" w:color="auto" w:fill="auto"/>
            <w:vAlign w:val="center"/>
          </w:tcPr>
          <w:p w14:paraId="1DC23A5D">
            <w:pPr>
              <w:spacing w:line="360" w:lineRule="auto"/>
              <w:jc w:val="center"/>
              <w:rPr>
                <w:rFonts w:cs="仿宋_GB2312"/>
                <w:color w:val="auto"/>
                <w:spacing w:val="20"/>
                <w:sz w:val="24"/>
                <w:highlight w:val="none"/>
              </w:rPr>
            </w:pPr>
          </w:p>
        </w:tc>
        <w:tc>
          <w:tcPr>
            <w:tcW w:w="1134" w:type="dxa"/>
            <w:shd w:val="clear" w:color="auto" w:fill="auto"/>
            <w:vAlign w:val="center"/>
          </w:tcPr>
          <w:p w14:paraId="3F45C9DE">
            <w:pPr>
              <w:spacing w:line="360" w:lineRule="auto"/>
              <w:jc w:val="center"/>
              <w:rPr>
                <w:rFonts w:cs="仿宋_GB2312"/>
                <w:color w:val="auto"/>
                <w:spacing w:val="20"/>
                <w:sz w:val="24"/>
                <w:highlight w:val="none"/>
              </w:rPr>
            </w:pPr>
          </w:p>
        </w:tc>
        <w:tc>
          <w:tcPr>
            <w:tcW w:w="1126" w:type="dxa"/>
            <w:shd w:val="clear" w:color="auto" w:fill="auto"/>
            <w:vAlign w:val="center"/>
          </w:tcPr>
          <w:p w14:paraId="735E1972">
            <w:pPr>
              <w:spacing w:line="360" w:lineRule="auto"/>
              <w:jc w:val="center"/>
              <w:rPr>
                <w:rFonts w:cs="仿宋_GB2312"/>
                <w:color w:val="auto"/>
                <w:spacing w:val="20"/>
                <w:sz w:val="24"/>
                <w:highlight w:val="none"/>
              </w:rPr>
            </w:pPr>
          </w:p>
        </w:tc>
        <w:tc>
          <w:tcPr>
            <w:tcW w:w="1125" w:type="dxa"/>
            <w:shd w:val="clear" w:color="auto" w:fill="auto"/>
            <w:vAlign w:val="center"/>
          </w:tcPr>
          <w:p w14:paraId="7C031569">
            <w:pPr>
              <w:spacing w:line="360" w:lineRule="auto"/>
              <w:jc w:val="center"/>
              <w:rPr>
                <w:rFonts w:cs="仿宋_GB2312"/>
                <w:color w:val="auto"/>
                <w:spacing w:val="20"/>
                <w:sz w:val="24"/>
                <w:highlight w:val="none"/>
              </w:rPr>
            </w:pPr>
          </w:p>
        </w:tc>
        <w:tc>
          <w:tcPr>
            <w:tcW w:w="850" w:type="dxa"/>
            <w:shd w:val="clear" w:color="auto" w:fill="auto"/>
            <w:vAlign w:val="center"/>
          </w:tcPr>
          <w:p w14:paraId="1D5945AC">
            <w:pPr>
              <w:spacing w:line="360" w:lineRule="auto"/>
              <w:jc w:val="center"/>
              <w:rPr>
                <w:rFonts w:cs="仿宋_GB2312"/>
                <w:color w:val="auto"/>
                <w:spacing w:val="20"/>
                <w:sz w:val="24"/>
                <w:highlight w:val="none"/>
              </w:rPr>
            </w:pPr>
          </w:p>
        </w:tc>
        <w:tc>
          <w:tcPr>
            <w:tcW w:w="1134" w:type="dxa"/>
            <w:shd w:val="clear" w:color="auto" w:fill="auto"/>
            <w:vAlign w:val="center"/>
          </w:tcPr>
          <w:p w14:paraId="04D299F3">
            <w:pPr>
              <w:spacing w:line="360" w:lineRule="auto"/>
              <w:jc w:val="center"/>
              <w:rPr>
                <w:rFonts w:cs="仿宋_GB2312"/>
                <w:color w:val="auto"/>
                <w:spacing w:val="20"/>
                <w:sz w:val="24"/>
                <w:highlight w:val="none"/>
              </w:rPr>
            </w:pPr>
          </w:p>
        </w:tc>
        <w:tc>
          <w:tcPr>
            <w:tcW w:w="1152" w:type="dxa"/>
            <w:shd w:val="clear" w:color="auto" w:fill="D9D9D9"/>
            <w:vAlign w:val="center"/>
          </w:tcPr>
          <w:p w14:paraId="1E68B72D">
            <w:pPr>
              <w:spacing w:line="360" w:lineRule="auto"/>
              <w:jc w:val="center"/>
              <w:rPr>
                <w:rFonts w:cs="仿宋_GB2312"/>
                <w:color w:val="auto"/>
                <w:spacing w:val="20"/>
                <w:sz w:val="24"/>
                <w:highlight w:val="none"/>
              </w:rPr>
            </w:pPr>
          </w:p>
        </w:tc>
        <w:tc>
          <w:tcPr>
            <w:tcW w:w="646" w:type="dxa"/>
            <w:vAlign w:val="center"/>
          </w:tcPr>
          <w:p w14:paraId="32480028">
            <w:pPr>
              <w:spacing w:line="360" w:lineRule="auto"/>
              <w:jc w:val="center"/>
              <w:rPr>
                <w:rFonts w:cs="仿宋_GB2312"/>
                <w:color w:val="auto"/>
                <w:spacing w:val="20"/>
                <w:sz w:val="24"/>
                <w:highlight w:val="none"/>
              </w:rPr>
            </w:pPr>
          </w:p>
        </w:tc>
      </w:tr>
      <w:tr w14:paraId="474A8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D88FD55">
            <w:pPr>
              <w:spacing w:line="360" w:lineRule="auto"/>
              <w:jc w:val="center"/>
              <w:rPr>
                <w:rFonts w:cs="仿宋_GB2312"/>
                <w:color w:val="auto"/>
                <w:spacing w:val="20"/>
                <w:sz w:val="24"/>
                <w:highlight w:val="none"/>
              </w:rPr>
            </w:pPr>
          </w:p>
        </w:tc>
        <w:tc>
          <w:tcPr>
            <w:tcW w:w="1417" w:type="dxa"/>
            <w:shd w:val="clear" w:color="auto" w:fill="auto"/>
            <w:vAlign w:val="center"/>
          </w:tcPr>
          <w:p w14:paraId="6B6B8808">
            <w:pPr>
              <w:spacing w:line="360" w:lineRule="auto"/>
              <w:jc w:val="center"/>
              <w:rPr>
                <w:rFonts w:cs="仿宋_GB2312"/>
                <w:color w:val="auto"/>
                <w:spacing w:val="20"/>
                <w:sz w:val="24"/>
                <w:highlight w:val="none"/>
              </w:rPr>
            </w:pPr>
          </w:p>
        </w:tc>
        <w:tc>
          <w:tcPr>
            <w:tcW w:w="1134" w:type="dxa"/>
            <w:shd w:val="clear" w:color="auto" w:fill="auto"/>
            <w:vAlign w:val="center"/>
          </w:tcPr>
          <w:p w14:paraId="174E992A">
            <w:pPr>
              <w:spacing w:line="360" w:lineRule="auto"/>
              <w:jc w:val="center"/>
              <w:rPr>
                <w:rFonts w:cs="仿宋_GB2312"/>
                <w:color w:val="auto"/>
                <w:spacing w:val="20"/>
                <w:sz w:val="24"/>
                <w:highlight w:val="none"/>
              </w:rPr>
            </w:pPr>
          </w:p>
        </w:tc>
        <w:tc>
          <w:tcPr>
            <w:tcW w:w="1126" w:type="dxa"/>
            <w:shd w:val="clear" w:color="auto" w:fill="auto"/>
            <w:vAlign w:val="center"/>
          </w:tcPr>
          <w:p w14:paraId="3D569648">
            <w:pPr>
              <w:spacing w:line="360" w:lineRule="auto"/>
              <w:jc w:val="center"/>
              <w:rPr>
                <w:rFonts w:cs="仿宋_GB2312"/>
                <w:color w:val="auto"/>
                <w:spacing w:val="20"/>
                <w:sz w:val="24"/>
                <w:highlight w:val="none"/>
              </w:rPr>
            </w:pPr>
          </w:p>
        </w:tc>
        <w:tc>
          <w:tcPr>
            <w:tcW w:w="1125" w:type="dxa"/>
            <w:shd w:val="clear" w:color="auto" w:fill="auto"/>
            <w:vAlign w:val="center"/>
          </w:tcPr>
          <w:p w14:paraId="3DD02092">
            <w:pPr>
              <w:spacing w:line="360" w:lineRule="auto"/>
              <w:jc w:val="center"/>
              <w:rPr>
                <w:rFonts w:cs="仿宋_GB2312"/>
                <w:color w:val="auto"/>
                <w:spacing w:val="20"/>
                <w:sz w:val="24"/>
                <w:highlight w:val="none"/>
              </w:rPr>
            </w:pPr>
          </w:p>
        </w:tc>
        <w:tc>
          <w:tcPr>
            <w:tcW w:w="850" w:type="dxa"/>
            <w:shd w:val="clear" w:color="auto" w:fill="auto"/>
            <w:vAlign w:val="center"/>
          </w:tcPr>
          <w:p w14:paraId="747E67C3">
            <w:pPr>
              <w:spacing w:line="360" w:lineRule="auto"/>
              <w:jc w:val="center"/>
              <w:rPr>
                <w:rFonts w:cs="仿宋_GB2312"/>
                <w:color w:val="auto"/>
                <w:spacing w:val="20"/>
                <w:sz w:val="24"/>
                <w:highlight w:val="none"/>
              </w:rPr>
            </w:pPr>
          </w:p>
        </w:tc>
        <w:tc>
          <w:tcPr>
            <w:tcW w:w="1134" w:type="dxa"/>
            <w:shd w:val="clear" w:color="auto" w:fill="auto"/>
            <w:vAlign w:val="center"/>
          </w:tcPr>
          <w:p w14:paraId="305FA52B">
            <w:pPr>
              <w:spacing w:line="360" w:lineRule="auto"/>
              <w:jc w:val="center"/>
              <w:rPr>
                <w:rFonts w:cs="仿宋_GB2312"/>
                <w:color w:val="auto"/>
                <w:spacing w:val="20"/>
                <w:sz w:val="24"/>
                <w:highlight w:val="none"/>
              </w:rPr>
            </w:pPr>
          </w:p>
        </w:tc>
        <w:tc>
          <w:tcPr>
            <w:tcW w:w="1152" w:type="dxa"/>
            <w:shd w:val="clear" w:color="auto" w:fill="D9D9D9"/>
            <w:vAlign w:val="center"/>
          </w:tcPr>
          <w:p w14:paraId="605029E0">
            <w:pPr>
              <w:spacing w:line="360" w:lineRule="auto"/>
              <w:jc w:val="center"/>
              <w:rPr>
                <w:rFonts w:cs="仿宋_GB2312"/>
                <w:color w:val="auto"/>
                <w:spacing w:val="20"/>
                <w:sz w:val="24"/>
                <w:highlight w:val="none"/>
              </w:rPr>
            </w:pPr>
          </w:p>
        </w:tc>
        <w:tc>
          <w:tcPr>
            <w:tcW w:w="646" w:type="dxa"/>
            <w:vAlign w:val="center"/>
          </w:tcPr>
          <w:p w14:paraId="7E636C9C">
            <w:pPr>
              <w:spacing w:line="360" w:lineRule="auto"/>
              <w:jc w:val="center"/>
              <w:rPr>
                <w:rFonts w:cs="仿宋_GB2312"/>
                <w:color w:val="auto"/>
                <w:spacing w:val="20"/>
                <w:sz w:val="24"/>
                <w:highlight w:val="none"/>
              </w:rPr>
            </w:pPr>
          </w:p>
        </w:tc>
      </w:tr>
      <w:tr w14:paraId="4988B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24EE7B2">
            <w:pPr>
              <w:spacing w:line="360" w:lineRule="auto"/>
              <w:jc w:val="center"/>
              <w:rPr>
                <w:rFonts w:cs="仿宋_GB2312"/>
                <w:color w:val="auto"/>
                <w:spacing w:val="20"/>
                <w:sz w:val="24"/>
                <w:highlight w:val="none"/>
              </w:rPr>
            </w:pPr>
          </w:p>
        </w:tc>
        <w:tc>
          <w:tcPr>
            <w:tcW w:w="1417" w:type="dxa"/>
            <w:shd w:val="clear" w:color="auto" w:fill="auto"/>
            <w:vAlign w:val="center"/>
          </w:tcPr>
          <w:p w14:paraId="781B6164">
            <w:pPr>
              <w:spacing w:line="360" w:lineRule="auto"/>
              <w:jc w:val="center"/>
              <w:rPr>
                <w:rFonts w:cs="仿宋_GB2312"/>
                <w:color w:val="auto"/>
                <w:spacing w:val="20"/>
                <w:sz w:val="24"/>
                <w:highlight w:val="none"/>
              </w:rPr>
            </w:pPr>
          </w:p>
        </w:tc>
        <w:tc>
          <w:tcPr>
            <w:tcW w:w="1134" w:type="dxa"/>
            <w:shd w:val="clear" w:color="auto" w:fill="auto"/>
            <w:vAlign w:val="center"/>
          </w:tcPr>
          <w:p w14:paraId="4D742F57">
            <w:pPr>
              <w:spacing w:line="360" w:lineRule="auto"/>
              <w:jc w:val="center"/>
              <w:rPr>
                <w:rFonts w:cs="仿宋_GB2312"/>
                <w:color w:val="auto"/>
                <w:spacing w:val="20"/>
                <w:sz w:val="24"/>
                <w:highlight w:val="none"/>
              </w:rPr>
            </w:pPr>
          </w:p>
        </w:tc>
        <w:tc>
          <w:tcPr>
            <w:tcW w:w="1126" w:type="dxa"/>
            <w:shd w:val="clear" w:color="auto" w:fill="auto"/>
            <w:vAlign w:val="center"/>
          </w:tcPr>
          <w:p w14:paraId="7D48F9BD">
            <w:pPr>
              <w:spacing w:line="360" w:lineRule="auto"/>
              <w:jc w:val="center"/>
              <w:rPr>
                <w:rFonts w:cs="仿宋_GB2312"/>
                <w:color w:val="auto"/>
                <w:spacing w:val="20"/>
                <w:sz w:val="24"/>
                <w:highlight w:val="none"/>
              </w:rPr>
            </w:pPr>
          </w:p>
        </w:tc>
        <w:tc>
          <w:tcPr>
            <w:tcW w:w="1125" w:type="dxa"/>
            <w:shd w:val="clear" w:color="auto" w:fill="auto"/>
            <w:vAlign w:val="center"/>
          </w:tcPr>
          <w:p w14:paraId="73A1BF65">
            <w:pPr>
              <w:spacing w:line="360" w:lineRule="auto"/>
              <w:jc w:val="center"/>
              <w:rPr>
                <w:rFonts w:cs="仿宋_GB2312"/>
                <w:color w:val="auto"/>
                <w:spacing w:val="20"/>
                <w:sz w:val="24"/>
                <w:highlight w:val="none"/>
              </w:rPr>
            </w:pPr>
          </w:p>
        </w:tc>
        <w:tc>
          <w:tcPr>
            <w:tcW w:w="850" w:type="dxa"/>
            <w:shd w:val="clear" w:color="auto" w:fill="auto"/>
            <w:vAlign w:val="center"/>
          </w:tcPr>
          <w:p w14:paraId="1F3869B9">
            <w:pPr>
              <w:spacing w:line="360" w:lineRule="auto"/>
              <w:jc w:val="center"/>
              <w:rPr>
                <w:rFonts w:cs="仿宋_GB2312"/>
                <w:color w:val="auto"/>
                <w:spacing w:val="20"/>
                <w:sz w:val="24"/>
                <w:highlight w:val="none"/>
              </w:rPr>
            </w:pPr>
          </w:p>
        </w:tc>
        <w:tc>
          <w:tcPr>
            <w:tcW w:w="1134" w:type="dxa"/>
            <w:shd w:val="clear" w:color="auto" w:fill="auto"/>
            <w:vAlign w:val="center"/>
          </w:tcPr>
          <w:p w14:paraId="523CA490">
            <w:pPr>
              <w:spacing w:line="360" w:lineRule="auto"/>
              <w:jc w:val="center"/>
              <w:rPr>
                <w:rFonts w:cs="仿宋_GB2312"/>
                <w:color w:val="auto"/>
                <w:spacing w:val="20"/>
                <w:sz w:val="24"/>
                <w:highlight w:val="none"/>
              </w:rPr>
            </w:pPr>
          </w:p>
        </w:tc>
        <w:tc>
          <w:tcPr>
            <w:tcW w:w="1152" w:type="dxa"/>
            <w:shd w:val="clear" w:color="auto" w:fill="D9D9D9"/>
            <w:vAlign w:val="center"/>
          </w:tcPr>
          <w:p w14:paraId="7B8217A7">
            <w:pPr>
              <w:spacing w:line="360" w:lineRule="auto"/>
              <w:jc w:val="center"/>
              <w:rPr>
                <w:rFonts w:cs="仿宋_GB2312"/>
                <w:color w:val="auto"/>
                <w:spacing w:val="20"/>
                <w:sz w:val="24"/>
                <w:highlight w:val="none"/>
              </w:rPr>
            </w:pPr>
          </w:p>
        </w:tc>
        <w:tc>
          <w:tcPr>
            <w:tcW w:w="646" w:type="dxa"/>
            <w:vAlign w:val="center"/>
          </w:tcPr>
          <w:p w14:paraId="48D25EB9">
            <w:pPr>
              <w:spacing w:line="360" w:lineRule="auto"/>
              <w:jc w:val="center"/>
              <w:rPr>
                <w:rFonts w:cs="仿宋_GB2312"/>
                <w:color w:val="auto"/>
                <w:spacing w:val="20"/>
                <w:sz w:val="24"/>
                <w:highlight w:val="none"/>
              </w:rPr>
            </w:pPr>
          </w:p>
        </w:tc>
      </w:tr>
      <w:tr w14:paraId="4EF01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E1B886E">
            <w:pPr>
              <w:spacing w:line="360" w:lineRule="auto"/>
              <w:jc w:val="center"/>
              <w:rPr>
                <w:rFonts w:cs="仿宋_GB2312"/>
                <w:color w:val="auto"/>
                <w:spacing w:val="20"/>
                <w:sz w:val="24"/>
                <w:highlight w:val="none"/>
              </w:rPr>
            </w:pPr>
          </w:p>
        </w:tc>
        <w:tc>
          <w:tcPr>
            <w:tcW w:w="1417" w:type="dxa"/>
            <w:shd w:val="clear" w:color="auto" w:fill="auto"/>
            <w:vAlign w:val="center"/>
          </w:tcPr>
          <w:p w14:paraId="214D9E55">
            <w:pPr>
              <w:spacing w:line="360" w:lineRule="auto"/>
              <w:jc w:val="center"/>
              <w:rPr>
                <w:rFonts w:cs="仿宋_GB2312"/>
                <w:color w:val="auto"/>
                <w:spacing w:val="20"/>
                <w:sz w:val="24"/>
                <w:highlight w:val="none"/>
              </w:rPr>
            </w:pPr>
          </w:p>
        </w:tc>
        <w:tc>
          <w:tcPr>
            <w:tcW w:w="1134" w:type="dxa"/>
            <w:shd w:val="clear" w:color="auto" w:fill="auto"/>
            <w:vAlign w:val="center"/>
          </w:tcPr>
          <w:p w14:paraId="39BFE976">
            <w:pPr>
              <w:spacing w:line="360" w:lineRule="auto"/>
              <w:jc w:val="center"/>
              <w:rPr>
                <w:rFonts w:cs="仿宋_GB2312"/>
                <w:color w:val="auto"/>
                <w:spacing w:val="20"/>
                <w:sz w:val="24"/>
                <w:highlight w:val="none"/>
              </w:rPr>
            </w:pPr>
          </w:p>
        </w:tc>
        <w:tc>
          <w:tcPr>
            <w:tcW w:w="1126" w:type="dxa"/>
            <w:shd w:val="clear" w:color="auto" w:fill="auto"/>
            <w:vAlign w:val="center"/>
          </w:tcPr>
          <w:p w14:paraId="126C31C1">
            <w:pPr>
              <w:spacing w:line="360" w:lineRule="auto"/>
              <w:jc w:val="center"/>
              <w:rPr>
                <w:rFonts w:cs="仿宋_GB2312"/>
                <w:color w:val="auto"/>
                <w:spacing w:val="20"/>
                <w:sz w:val="24"/>
                <w:highlight w:val="none"/>
              </w:rPr>
            </w:pPr>
          </w:p>
        </w:tc>
        <w:tc>
          <w:tcPr>
            <w:tcW w:w="1125" w:type="dxa"/>
            <w:shd w:val="clear" w:color="auto" w:fill="auto"/>
            <w:vAlign w:val="center"/>
          </w:tcPr>
          <w:p w14:paraId="5BBD8371">
            <w:pPr>
              <w:spacing w:line="360" w:lineRule="auto"/>
              <w:jc w:val="center"/>
              <w:rPr>
                <w:rFonts w:cs="仿宋_GB2312"/>
                <w:color w:val="auto"/>
                <w:spacing w:val="20"/>
                <w:sz w:val="24"/>
                <w:highlight w:val="none"/>
              </w:rPr>
            </w:pPr>
          </w:p>
        </w:tc>
        <w:tc>
          <w:tcPr>
            <w:tcW w:w="850" w:type="dxa"/>
            <w:shd w:val="clear" w:color="auto" w:fill="auto"/>
            <w:vAlign w:val="center"/>
          </w:tcPr>
          <w:p w14:paraId="10686716">
            <w:pPr>
              <w:spacing w:line="360" w:lineRule="auto"/>
              <w:jc w:val="center"/>
              <w:rPr>
                <w:rFonts w:cs="仿宋_GB2312"/>
                <w:color w:val="auto"/>
                <w:spacing w:val="20"/>
                <w:sz w:val="24"/>
                <w:highlight w:val="none"/>
              </w:rPr>
            </w:pPr>
          </w:p>
        </w:tc>
        <w:tc>
          <w:tcPr>
            <w:tcW w:w="1134" w:type="dxa"/>
            <w:shd w:val="clear" w:color="auto" w:fill="auto"/>
            <w:vAlign w:val="center"/>
          </w:tcPr>
          <w:p w14:paraId="10477317">
            <w:pPr>
              <w:spacing w:line="360" w:lineRule="auto"/>
              <w:jc w:val="center"/>
              <w:rPr>
                <w:rFonts w:cs="仿宋_GB2312"/>
                <w:color w:val="auto"/>
                <w:spacing w:val="20"/>
                <w:sz w:val="24"/>
                <w:highlight w:val="none"/>
              </w:rPr>
            </w:pPr>
          </w:p>
        </w:tc>
        <w:tc>
          <w:tcPr>
            <w:tcW w:w="1152" w:type="dxa"/>
            <w:shd w:val="clear" w:color="auto" w:fill="D9D9D9"/>
            <w:vAlign w:val="center"/>
          </w:tcPr>
          <w:p w14:paraId="2016E065">
            <w:pPr>
              <w:spacing w:line="360" w:lineRule="auto"/>
              <w:jc w:val="center"/>
              <w:rPr>
                <w:rFonts w:cs="仿宋_GB2312"/>
                <w:color w:val="auto"/>
                <w:spacing w:val="20"/>
                <w:sz w:val="24"/>
                <w:highlight w:val="none"/>
              </w:rPr>
            </w:pPr>
          </w:p>
        </w:tc>
        <w:tc>
          <w:tcPr>
            <w:tcW w:w="646" w:type="dxa"/>
            <w:vAlign w:val="center"/>
          </w:tcPr>
          <w:p w14:paraId="28AB4E85">
            <w:pPr>
              <w:spacing w:line="360" w:lineRule="auto"/>
              <w:jc w:val="center"/>
              <w:rPr>
                <w:rFonts w:cs="仿宋_GB2312"/>
                <w:color w:val="auto"/>
                <w:spacing w:val="20"/>
                <w:sz w:val="24"/>
                <w:highlight w:val="none"/>
              </w:rPr>
            </w:pPr>
          </w:p>
        </w:tc>
      </w:tr>
    </w:tbl>
    <w:p w14:paraId="6BB94219">
      <w:pPr>
        <w:pStyle w:val="50"/>
        <w:snapToGrid w:val="0"/>
        <w:spacing w:line="360" w:lineRule="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注：1、投标人可按上述的格式自行编制，须随表提交相应的合同及验收合格材料复制件加盖公章并注明所在投标人资信文件页码。</w:t>
      </w:r>
    </w:p>
    <w:p w14:paraId="3D29B457">
      <w:pPr>
        <w:pStyle w:val="50"/>
        <w:numPr>
          <w:ilvl w:val="0"/>
          <w:numId w:val="4"/>
        </w:numPr>
        <w:snapToGrid w:val="0"/>
        <w:spacing w:line="360" w:lineRule="auto"/>
        <w:ind w:firstLine="480" w:firstLineChars="20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不录入此表的不作为评审依据。</w:t>
      </w:r>
    </w:p>
    <w:p w14:paraId="03F83FCE">
      <w:pPr>
        <w:pStyle w:val="50"/>
        <w:snapToGrid w:val="0"/>
        <w:spacing w:line="360" w:lineRule="auto"/>
        <w:rPr>
          <w:rFonts w:ascii="Times New Roman" w:hAnsi="Times New Roman" w:eastAsia="仿宋_GB2312" w:cs="仿宋_GB2312"/>
          <w:snapToGrid w:val="0"/>
          <w:color w:val="auto"/>
          <w:sz w:val="24"/>
          <w:szCs w:val="24"/>
          <w:highlight w:val="none"/>
        </w:rPr>
      </w:pPr>
    </w:p>
    <w:p w14:paraId="65B47F46">
      <w:pPr>
        <w:pStyle w:val="50"/>
        <w:snapToGrid w:val="0"/>
        <w:spacing w:line="360" w:lineRule="auto"/>
        <w:rPr>
          <w:rFonts w:ascii="Times New Roman" w:hAnsi="Times New Roman" w:eastAsia="仿宋_GB2312" w:cs="仿宋_GB2312"/>
          <w:snapToGrid w:val="0"/>
          <w:color w:val="auto"/>
          <w:sz w:val="24"/>
          <w:szCs w:val="24"/>
          <w:highlight w:val="none"/>
        </w:rPr>
      </w:pPr>
      <w:r>
        <w:rPr>
          <w:rFonts w:hint="eastAsia" w:ascii="Times New Roman" w:hAnsi="Times New Roman" w:eastAsia="仿宋_GB2312" w:cs="仿宋_GB2312"/>
          <w:snapToGrid w:val="0"/>
          <w:color w:val="auto"/>
          <w:sz w:val="24"/>
          <w:szCs w:val="24"/>
          <w:highlight w:val="none"/>
        </w:rPr>
        <w:t>投标人（盖公章）：</w:t>
      </w:r>
    </w:p>
    <w:p w14:paraId="58839E88">
      <w:pPr>
        <w:pStyle w:val="50"/>
        <w:snapToGrid w:val="0"/>
        <w:spacing w:line="360" w:lineRule="auto"/>
        <w:rPr>
          <w:rFonts w:ascii="Times New Roman" w:hAnsi="Times New Roman" w:eastAsia="仿宋_GB2312" w:cs="仿宋_GB2312"/>
          <w:snapToGrid w:val="0"/>
          <w:color w:val="auto"/>
          <w:sz w:val="24"/>
          <w:szCs w:val="24"/>
          <w:highlight w:val="none"/>
        </w:rPr>
      </w:pPr>
      <w:r>
        <w:rPr>
          <w:rFonts w:hint="eastAsia" w:ascii="Times New Roman" w:hAnsi="Times New Roman" w:eastAsia="仿宋_GB2312" w:cs="仿宋_GB2312"/>
          <w:snapToGrid w:val="0"/>
          <w:color w:val="auto"/>
          <w:sz w:val="24"/>
          <w:szCs w:val="24"/>
          <w:highlight w:val="none"/>
        </w:rPr>
        <w:t>法定代表人（负责人）或其委托代理人（签字或盖章）：</w:t>
      </w:r>
    </w:p>
    <w:p w14:paraId="4C65BC25">
      <w:pPr>
        <w:pStyle w:val="50"/>
        <w:snapToGrid w:val="0"/>
        <w:spacing w:line="360" w:lineRule="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snapToGrid w:val="0"/>
          <w:color w:val="auto"/>
          <w:sz w:val="24"/>
          <w:szCs w:val="24"/>
          <w:highlight w:val="none"/>
        </w:rPr>
        <w:t>日期：</w:t>
      </w:r>
      <w:r>
        <w:rPr>
          <w:rFonts w:hint="eastAsia" w:ascii="Times New Roman" w:hAnsi="Times New Roman" w:eastAsia="仿宋_GB2312" w:cs="仿宋_GB2312"/>
          <w:color w:val="auto"/>
          <w:sz w:val="24"/>
          <w:szCs w:val="24"/>
          <w:highlight w:val="none"/>
        </w:rPr>
        <w:t xml:space="preserve">      年    月    日</w:t>
      </w:r>
    </w:p>
    <w:p w14:paraId="75EFB121">
      <w:pPr>
        <w:pStyle w:val="50"/>
        <w:snapToGrid w:val="0"/>
        <w:spacing w:line="360" w:lineRule="auto"/>
        <w:rPr>
          <w:rFonts w:ascii="Times New Roman" w:hAnsi="Times New Roman" w:eastAsia="仿宋_GB2312" w:cs="仿宋_GB2312"/>
          <w:color w:val="auto"/>
          <w:sz w:val="24"/>
          <w:szCs w:val="24"/>
          <w:highlight w:val="none"/>
        </w:rPr>
      </w:pPr>
    </w:p>
    <w:p w14:paraId="076B2917">
      <w:pPr>
        <w:pStyle w:val="50"/>
        <w:adjustRightInd w:val="0"/>
        <w:snapToGrid w:val="0"/>
        <w:spacing w:line="360" w:lineRule="auto"/>
        <w:jc w:val="center"/>
        <w:rPr>
          <w:rFonts w:ascii="Times New Roman" w:hAnsi="Times New Roman" w:eastAsia="仿宋_GB2312" w:cs="仿宋_GB2312"/>
          <w:b/>
          <w:bCs/>
          <w:color w:val="auto"/>
          <w:sz w:val="24"/>
          <w:szCs w:val="24"/>
          <w:highlight w:val="none"/>
        </w:rPr>
      </w:pPr>
    </w:p>
    <w:p w14:paraId="351412A0">
      <w:pPr>
        <w:pStyle w:val="50"/>
        <w:adjustRightInd w:val="0"/>
        <w:snapToGrid w:val="0"/>
        <w:spacing w:line="360" w:lineRule="auto"/>
        <w:jc w:val="center"/>
        <w:rPr>
          <w:rFonts w:ascii="Times New Roman" w:hAnsi="Times New Roman" w:eastAsia="仿宋_GB2312" w:cs="仿宋_GB2312"/>
          <w:b/>
          <w:bCs/>
          <w:color w:val="auto"/>
          <w:sz w:val="24"/>
          <w:szCs w:val="24"/>
          <w:highlight w:val="none"/>
        </w:rPr>
      </w:pPr>
    </w:p>
    <w:p w14:paraId="5E1B5199">
      <w:pPr>
        <w:pStyle w:val="50"/>
        <w:adjustRightInd w:val="0"/>
        <w:snapToGrid w:val="0"/>
        <w:spacing w:line="360" w:lineRule="auto"/>
        <w:jc w:val="center"/>
        <w:rPr>
          <w:rFonts w:ascii="Times New Roman" w:hAnsi="Times New Roman" w:eastAsia="仿宋_GB2312" w:cs="仿宋_GB2312"/>
          <w:b/>
          <w:bCs/>
          <w:color w:val="auto"/>
          <w:sz w:val="24"/>
          <w:szCs w:val="24"/>
          <w:highlight w:val="none"/>
        </w:rPr>
      </w:pPr>
    </w:p>
    <w:p w14:paraId="591653BD">
      <w:pPr>
        <w:pStyle w:val="50"/>
        <w:adjustRightInd w:val="0"/>
        <w:snapToGrid w:val="0"/>
        <w:spacing w:line="360" w:lineRule="auto"/>
        <w:jc w:val="center"/>
        <w:rPr>
          <w:rFonts w:ascii="Times New Roman" w:hAnsi="Times New Roman" w:eastAsia="仿宋_GB2312" w:cs="仿宋_GB2312"/>
          <w:b/>
          <w:bCs/>
          <w:color w:val="auto"/>
          <w:sz w:val="24"/>
          <w:szCs w:val="24"/>
          <w:highlight w:val="none"/>
        </w:rPr>
      </w:pPr>
    </w:p>
    <w:p w14:paraId="48976ED9">
      <w:pPr>
        <w:pStyle w:val="50"/>
        <w:adjustRightInd w:val="0"/>
        <w:snapToGrid w:val="0"/>
        <w:spacing w:line="360" w:lineRule="auto"/>
        <w:jc w:val="center"/>
        <w:rPr>
          <w:rFonts w:ascii="Times New Roman" w:hAnsi="Times New Roman" w:eastAsia="仿宋_GB2312" w:cs="仿宋_GB2312"/>
          <w:b/>
          <w:bCs/>
          <w:color w:val="auto"/>
          <w:sz w:val="24"/>
          <w:szCs w:val="24"/>
          <w:highlight w:val="none"/>
        </w:rPr>
      </w:pPr>
    </w:p>
    <w:p w14:paraId="748457F7">
      <w:pPr>
        <w:pStyle w:val="50"/>
        <w:adjustRightInd w:val="0"/>
        <w:snapToGrid w:val="0"/>
        <w:spacing w:line="360" w:lineRule="auto"/>
        <w:jc w:val="center"/>
        <w:rPr>
          <w:rFonts w:ascii="Times New Roman" w:hAnsi="Times New Roman" w:eastAsia="仿宋_GB2312" w:cs="仿宋_GB2312"/>
          <w:b/>
          <w:bCs/>
          <w:color w:val="auto"/>
          <w:sz w:val="24"/>
          <w:szCs w:val="24"/>
          <w:highlight w:val="none"/>
        </w:rPr>
      </w:pPr>
    </w:p>
    <w:p w14:paraId="142F9678">
      <w:pPr>
        <w:pStyle w:val="50"/>
        <w:adjustRightInd w:val="0"/>
        <w:snapToGrid w:val="0"/>
        <w:spacing w:line="360" w:lineRule="auto"/>
        <w:jc w:val="center"/>
        <w:rPr>
          <w:rFonts w:ascii="Times New Roman" w:hAnsi="Times New Roman" w:eastAsia="仿宋_GB2312" w:cs="仿宋_GB2312"/>
          <w:b/>
          <w:bCs/>
          <w:color w:val="auto"/>
          <w:sz w:val="24"/>
          <w:szCs w:val="24"/>
          <w:highlight w:val="none"/>
        </w:rPr>
      </w:pPr>
    </w:p>
    <w:p w14:paraId="00AC3744">
      <w:pPr>
        <w:pStyle w:val="50"/>
        <w:adjustRightInd w:val="0"/>
        <w:snapToGrid w:val="0"/>
        <w:spacing w:line="360" w:lineRule="auto"/>
        <w:jc w:val="center"/>
        <w:rPr>
          <w:rFonts w:ascii="Times New Roman" w:hAnsi="Times New Roman" w:eastAsia="仿宋_GB2312" w:cs="仿宋_GB2312"/>
          <w:b/>
          <w:bCs/>
          <w:color w:val="auto"/>
          <w:sz w:val="24"/>
          <w:szCs w:val="24"/>
          <w:highlight w:val="none"/>
        </w:rPr>
      </w:pPr>
    </w:p>
    <w:p w14:paraId="69D0CB9F">
      <w:pPr>
        <w:pStyle w:val="50"/>
        <w:adjustRightInd w:val="0"/>
        <w:snapToGrid w:val="0"/>
        <w:spacing w:line="360" w:lineRule="auto"/>
        <w:jc w:val="center"/>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b/>
          <w:bCs/>
          <w:color w:val="auto"/>
          <w:sz w:val="24"/>
          <w:szCs w:val="24"/>
          <w:highlight w:val="none"/>
        </w:rPr>
        <w:t>四、诚信廉洁承诺函</w:t>
      </w:r>
    </w:p>
    <w:p w14:paraId="0A207B24">
      <w:pPr>
        <w:pStyle w:val="9"/>
        <w:rPr>
          <w:rFonts w:eastAsia="仿宋_GB2312" w:cs="仿宋_GB2312"/>
          <w:color w:val="auto"/>
          <w:sz w:val="24"/>
          <w:szCs w:val="24"/>
          <w:highlight w:val="none"/>
          <w:u w:val="single"/>
        </w:rPr>
      </w:pPr>
      <w:r>
        <w:rPr>
          <w:rFonts w:hint="eastAsia" w:eastAsia="仿宋_GB2312" w:cs="仿宋_GB2312"/>
          <w:b/>
          <w:bCs/>
          <w:color w:val="auto"/>
          <w:sz w:val="24"/>
          <w:szCs w:val="24"/>
          <w:highlight w:val="none"/>
          <w:u w:val="single"/>
        </w:rPr>
        <w:t>杭州临江环境能源有限公司：</w:t>
      </w:r>
    </w:p>
    <w:p w14:paraId="1B20D3FF">
      <w:pPr>
        <w:spacing w:line="360" w:lineRule="exact"/>
        <w:ind w:firstLine="720" w:firstLineChars="300"/>
        <w:jc w:val="left"/>
        <w:rPr>
          <w:rFonts w:cs="仿宋_GB2312"/>
          <w:color w:val="auto"/>
          <w:sz w:val="24"/>
          <w:highlight w:val="none"/>
        </w:rPr>
      </w:pPr>
      <w:r>
        <w:rPr>
          <w:rFonts w:hint="eastAsia" w:cs="仿宋_GB2312"/>
          <w:color w:val="auto"/>
          <w:sz w:val="24"/>
          <w:highlight w:val="none"/>
          <w:u w:val="single"/>
        </w:rPr>
        <w:t>（投标人名称）</w:t>
      </w:r>
      <w:r>
        <w:rPr>
          <w:rFonts w:hint="eastAsia" w:cs="仿宋_GB2312"/>
          <w:color w:val="auto"/>
          <w:sz w:val="24"/>
          <w:highlight w:val="none"/>
        </w:rPr>
        <w:t xml:space="preserve">承诺参与 </w:t>
      </w:r>
      <w:r>
        <w:rPr>
          <w:rFonts w:hint="eastAsia" w:cs="仿宋_GB2312"/>
          <w:color w:val="auto"/>
          <w:sz w:val="24"/>
          <w:highlight w:val="none"/>
          <w:u w:val="single"/>
        </w:rPr>
        <w:t xml:space="preserve"> 2025年—2028年垃圾吊改造项目</w:t>
      </w:r>
      <w:r>
        <w:rPr>
          <w:rFonts w:hint="eastAsia" w:cs="仿宋_GB2312"/>
          <w:color w:val="auto"/>
          <w:sz w:val="24"/>
          <w:highlight w:val="none"/>
        </w:rPr>
        <w:t>（招标编号：</w:t>
      </w:r>
      <w:r>
        <w:rPr>
          <w:rFonts w:hint="eastAsia" w:cs="仿宋_GB2312"/>
          <w:color w:val="auto"/>
          <w:sz w:val="24"/>
          <w:highlight w:val="none"/>
          <w:u w:val="single"/>
          <w:lang w:eastAsia="zh-CN"/>
        </w:rPr>
        <w:t>NY-1FZB2505026</w:t>
      </w:r>
      <w:r>
        <w:rPr>
          <w:rFonts w:hint="eastAsia" w:cs="仿宋_GB2312"/>
          <w:color w:val="auto"/>
          <w:sz w:val="24"/>
          <w:highlight w:val="none"/>
        </w:rPr>
        <w:t>），提供的信息（含投标资料、各项应答及承诺）是真实可靠，并能在价格有效期内忠实履行的。</w:t>
      </w:r>
    </w:p>
    <w:p w14:paraId="55718ECA">
      <w:pPr>
        <w:spacing w:line="360" w:lineRule="exact"/>
        <w:ind w:firstLine="720" w:firstLineChars="300"/>
        <w:jc w:val="left"/>
        <w:rPr>
          <w:rFonts w:cs="仿宋_GB2312"/>
          <w:color w:val="auto"/>
          <w:sz w:val="24"/>
          <w:highlight w:val="none"/>
        </w:rPr>
      </w:pPr>
      <w:r>
        <w:rPr>
          <w:rFonts w:hint="eastAsia" w:cs="仿宋_GB2312"/>
          <w:color w:val="auto"/>
          <w:sz w:val="24"/>
          <w:highlight w:val="none"/>
          <w:u w:val="single"/>
        </w:rPr>
        <w:t>（投标人名称）</w:t>
      </w:r>
      <w:r>
        <w:rPr>
          <w:rFonts w:hint="eastAsia" w:cs="仿宋_GB2312"/>
          <w:color w:val="auto"/>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007FBB38">
      <w:pPr>
        <w:spacing w:line="360" w:lineRule="exact"/>
        <w:ind w:firstLine="720" w:firstLineChars="300"/>
        <w:jc w:val="left"/>
        <w:rPr>
          <w:rFonts w:cs="仿宋_GB2312"/>
          <w:color w:val="auto"/>
          <w:sz w:val="24"/>
          <w:highlight w:val="none"/>
        </w:rPr>
      </w:pPr>
      <w:r>
        <w:rPr>
          <w:rFonts w:hint="eastAsia" w:cs="仿宋_GB2312"/>
          <w:color w:val="auto"/>
          <w:sz w:val="24"/>
          <w:highlight w:val="none"/>
          <w:u w:val="single"/>
        </w:rPr>
        <w:t>（投标人名称）</w:t>
      </w:r>
      <w:r>
        <w:rPr>
          <w:rFonts w:hint="eastAsia" w:cs="仿宋_GB2312"/>
          <w:color w:val="auto"/>
          <w:sz w:val="24"/>
          <w:highlight w:val="none"/>
        </w:rPr>
        <w:t>承诺不对招标相关工作人员行贿，如投标人对招标相关工作人员行贿的，则招标人有权解除本合同，要求投标人赔偿因此所造成的损失；并保留在相关媒体或网站等对外发布的权利。</w:t>
      </w:r>
    </w:p>
    <w:p w14:paraId="3F3E1308">
      <w:pPr>
        <w:spacing w:line="360" w:lineRule="auto"/>
        <w:jc w:val="center"/>
        <w:rPr>
          <w:rFonts w:cs="仿宋_GB2312"/>
          <w:color w:val="auto"/>
          <w:sz w:val="24"/>
          <w:highlight w:val="none"/>
        </w:rPr>
      </w:pPr>
    </w:p>
    <w:p w14:paraId="4B6D02E2">
      <w:pPr>
        <w:spacing w:line="360" w:lineRule="auto"/>
        <w:jc w:val="center"/>
        <w:rPr>
          <w:rFonts w:cs="仿宋_GB2312"/>
          <w:color w:val="auto"/>
          <w:sz w:val="24"/>
          <w:highlight w:val="none"/>
        </w:rPr>
      </w:pPr>
    </w:p>
    <w:p w14:paraId="30146966">
      <w:pPr>
        <w:rPr>
          <w:rFonts w:cs="仿宋_GB2312"/>
          <w:color w:val="auto"/>
          <w:sz w:val="24"/>
          <w:highlight w:val="none"/>
        </w:rPr>
      </w:pPr>
    </w:p>
    <w:p w14:paraId="1A1C4AF8">
      <w:pPr>
        <w:rPr>
          <w:rFonts w:cs="仿宋_GB2312"/>
          <w:color w:val="auto"/>
          <w:sz w:val="24"/>
          <w:highlight w:val="none"/>
        </w:rPr>
      </w:pPr>
    </w:p>
    <w:p w14:paraId="4A74C890">
      <w:pPr>
        <w:rPr>
          <w:rFonts w:cs="仿宋_GB2312"/>
          <w:color w:val="auto"/>
          <w:sz w:val="24"/>
          <w:highlight w:val="none"/>
        </w:rPr>
      </w:pPr>
    </w:p>
    <w:p w14:paraId="7D3F0630">
      <w:pPr>
        <w:pStyle w:val="12"/>
        <w:snapToGrid w:val="0"/>
        <w:spacing w:line="360" w:lineRule="auto"/>
        <w:rPr>
          <w:rFonts w:ascii="Times New Roman" w:hAnsi="Times New Roman" w:eastAsia="仿宋_GB2312" w:cs="仿宋_GB2312"/>
          <w:snapToGrid w:val="0"/>
          <w:color w:val="auto"/>
          <w:sz w:val="24"/>
          <w:szCs w:val="24"/>
          <w:highlight w:val="none"/>
        </w:rPr>
      </w:pPr>
      <w:r>
        <w:rPr>
          <w:rFonts w:hint="eastAsia" w:ascii="Times New Roman" w:hAnsi="Times New Roman" w:eastAsia="仿宋_GB2312" w:cs="仿宋_GB2312"/>
          <w:snapToGrid w:val="0"/>
          <w:color w:val="auto"/>
          <w:sz w:val="24"/>
          <w:szCs w:val="24"/>
          <w:highlight w:val="none"/>
        </w:rPr>
        <w:t>投标人（盖公章）：</w:t>
      </w:r>
    </w:p>
    <w:p w14:paraId="75DD6362">
      <w:pPr>
        <w:pStyle w:val="12"/>
        <w:snapToGrid w:val="0"/>
        <w:spacing w:line="360" w:lineRule="auto"/>
        <w:rPr>
          <w:rFonts w:ascii="Times New Roman" w:hAnsi="Times New Roman" w:eastAsia="仿宋_GB2312" w:cs="仿宋_GB2312"/>
          <w:snapToGrid w:val="0"/>
          <w:color w:val="auto"/>
          <w:sz w:val="24"/>
          <w:szCs w:val="24"/>
          <w:highlight w:val="none"/>
        </w:rPr>
      </w:pPr>
      <w:r>
        <w:rPr>
          <w:rFonts w:hint="eastAsia" w:ascii="Times New Roman" w:hAnsi="Times New Roman" w:eastAsia="仿宋_GB2312" w:cs="仿宋_GB2312"/>
          <w:snapToGrid w:val="0"/>
          <w:color w:val="auto"/>
          <w:sz w:val="24"/>
          <w:szCs w:val="24"/>
          <w:highlight w:val="none"/>
        </w:rPr>
        <w:t>法定代表人（负责人）或其委托代理人（签字或盖章）：</w:t>
      </w:r>
    </w:p>
    <w:p w14:paraId="493AA1DC">
      <w:pPr>
        <w:pStyle w:val="50"/>
        <w:adjustRightInd w:val="0"/>
        <w:snapToGrid w:val="0"/>
        <w:spacing w:line="360" w:lineRule="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snapToGrid w:val="0"/>
          <w:color w:val="auto"/>
          <w:sz w:val="24"/>
          <w:szCs w:val="24"/>
          <w:highlight w:val="none"/>
        </w:rPr>
        <w:t>日期：</w:t>
      </w:r>
      <w:r>
        <w:rPr>
          <w:rFonts w:hint="eastAsia" w:ascii="Times New Roman" w:hAnsi="Times New Roman" w:eastAsia="仿宋_GB2312" w:cs="仿宋_GB2312"/>
          <w:color w:val="auto"/>
          <w:sz w:val="24"/>
          <w:szCs w:val="24"/>
          <w:highlight w:val="none"/>
        </w:rPr>
        <w:t xml:space="preserve">      年    月    日</w:t>
      </w:r>
    </w:p>
    <w:p w14:paraId="6960471E">
      <w:pPr>
        <w:pStyle w:val="5"/>
        <w:jc w:val="center"/>
        <w:rPr>
          <w:rFonts w:ascii="Times New Roman" w:hAnsi="Times New Roman" w:eastAsia="仿宋_GB2312" w:cs="仿宋_GB2312"/>
          <w:color w:val="auto"/>
          <w:sz w:val="24"/>
          <w:szCs w:val="24"/>
          <w:highlight w:val="none"/>
        </w:rPr>
      </w:pPr>
    </w:p>
    <w:p w14:paraId="2D952DB4">
      <w:pPr>
        <w:pStyle w:val="5"/>
        <w:jc w:val="center"/>
        <w:rPr>
          <w:rFonts w:ascii="Times New Roman" w:hAnsi="Times New Roman" w:eastAsia="仿宋_GB2312" w:cs="仿宋_GB2312"/>
          <w:color w:val="auto"/>
          <w:sz w:val="24"/>
          <w:szCs w:val="24"/>
          <w:highlight w:val="none"/>
        </w:rPr>
      </w:pPr>
    </w:p>
    <w:p w14:paraId="4F072A22">
      <w:pPr>
        <w:rPr>
          <w:rFonts w:cs="仿宋_GB2312"/>
          <w:color w:val="auto"/>
          <w:sz w:val="24"/>
          <w:highlight w:val="none"/>
        </w:rPr>
      </w:pPr>
    </w:p>
    <w:p w14:paraId="60E828BA">
      <w:pPr>
        <w:rPr>
          <w:rFonts w:cs="仿宋_GB2312"/>
          <w:color w:val="auto"/>
          <w:sz w:val="24"/>
          <w:highlight w:val="none"/>
        </w:rPr>
      </w:pPr>
    </w:p>
    <w:p w14:paraId="456F4142">
      <w:pPr>
        <w:rPr>
          <w:rFonts w:cs="仿宋_GB2312"/>
          <w:color w:val="auto"/>
          <w:sz w:val="24"/>
          <w:highlight w:val="none"/>
        </w:rPr>
      </w:pPr>
    </w:p>
    <w:p w14:paraId="58276B13">
      <w:pPr>
        <w:rPr>
          <w:rFonts w:cs="仿宋_GB2312"/>
          <w:color w:val="auto"/>
          <w:sz w:val="24"/>
          <w:highlight w:val="none"/>
        </w:rPr>
      </w:pPr>
    </w:p>
    <w:p w14:paraId="7B439988">
      <w:pPr>
        <w:rPr>
          <w:rFonts w:cs="仿宋_GB2312"/>
          <w:color w:val="auto"/>
          <w:sz w:val="24"/>
          <w:highlight w:val="none"/>
        </w:rPr>
      </w:pPr>
    </w:p>
    <w:p w14:paraId="6B65EA3E">
      <w:pPr>
        <w:rPr>
          <w:rFonts w:cs="仿宋_GB2312"/>
          <w:color w:val="auto"/>
          <w:sz w:val="24"/>
          <w:highlight w:val="none"/>
        </w:rPr>
      </w:pPr>
    </w:p>
    <w:p w14:paraId="3FD845D5">
      <w:pPr>
        <w:rPr>
          <w:rFonts w:cs="仿宋_GB2312"/>
          <w:color w:val="auto"/>
          <w:sz w:val="24"/>
          <w:highlight w:val="none"/>
        </w:rPr>
      </w:pPr>
    </w:p>
    <w:p w14:paraId="66FBD937">
      <w:pPr>
        <w:rPr>
          <w:rFonts w:cs="仿宋_GB2312"/>
          <w:color w:val="auto"/>
          <w:sz w:val="24"/>
          <w:highlight w:val="none"/>
        </w:rPr>
      </w:pPr>
    </w:p>
    <w:p w14:paraId="66C8EED7">
      <w:pPr>
        <w:rPr>
          <w:rFonts w:cs="仿宋_GB2312"/>
          <w:color w:val="auto"/>
          <w:sz w:val="24"/>
          <w:highlight w:val="none"/>
        </w:rPr>
      </w:pPr>
    </w:p>
    <w:p w14:paraId="457FA278">
      <w:pPr>
        <w:rPr>
          <w:rFonts w:cs="仿宋_GB2312"/>
          <w:color w:val="auto"/>
          <w:sz w:val="24"/>
          <w:highlight w:val="none"/>
        </w:rPr>
      </w:pPr>
    </w:p>
    <w:p w14:paraId="4C88B2CE">
      <w:pPr>
        <w:rPr>
          <w:rFonts w:cs="仿宋_GB2312"/>
          <w:color w:val="auto"/>
          <w:sz w:val="24"/>
          <w:highlight w:val="none"/>
        </w:rPr>
      </w:pPr>
    </w:p>
    <w:p w14:paraId="3340612D">
      <w:pPr>
        <w:rPr>
          <w:rFonts w:cs="仿宋_GB2312"/>
          <w:color w:val="auto"/>
          <w:sz w:val="24"/>
          <w:highlight w:val="none"/>
        </w:rPr>
      </w:pPr>
    </w:p>
    <w:p w14:paraId="47DCDB1B">
      <w:pPr>
        <w:rPr>
          <w:rFonts w:cs="仿宋_GB2312"/>
          <w:color w:val="auto"/>
          <w:sz w:val="24"/>
          <w:highlight w:val="none"/>
        </w:rPr>
      </w:pPr>
    </w:p>
    <w:p w14:paraId="7ECE79E4">
      <w:pPr>
        <w:pStyle w:val="5"/>
        <w:jc w:val="center"/>
        <w:rPr>
          <w:rFonts w:ascii="Times New Roman" w:hAnsi="Times New Roman" w:eastAsia="仿宋_GB2312" w:cs="仿宋_GB2312"/>
          <w:color w:val="auto"/>
          <w:sz w:val="24"/>
          <w:szCs w:val="24"/>
          <w:highlight w:val="none"/>
        </w:rPr>
      </w:pPr>
    </w:p>
    <w:p w14:paraId="52270CEC">
      <w:pPr>
        <w:rPr>
          <w:color w:val="auto"/>
          <w:highlight w:val="none"/>
        </w:rPr>
      </w:pPr>
    </w:p>
    <w:p w14:paraId="3F27A58E">
      <w:pPr>
        <w:spacing w:line="360" w:lineRule="auto"/>
        <w:jc w:val="center"/>
        <w:rPr>
          <w:rFonts w:cs="仿宋_GB2312"/>
          <w:b/>
          <w:bCs/>
          <w:color w:val="auto"/>
          <w:kern w:val="0"/>
          <w:sz w:val="24"/>
          <w:highlight w:val="none"/>
        </w:rPr>
      </w:pPr>
    </w:p>
    <w:p w14:paraId="6F072109">
      <w:pPr>
        <w:pStyle w:val="50"/>
        <w:adjustRightInd w:val="0"/>
        <w:snapToGrid w:val="0"/>
        <w:spacing w:line="360" w:lineRule="auto"/>
        <w:jc w:val="center"/>
        <w:rPr>
          <w:rFonts w:ascii="Times New Roman" w:hAnsi="Times New Roman" w:eastAsia="仿宋_GB2312" w:cs="仿宋_GB2312"/>
          <w:b/>
          <w:bCs/>
          <w:color w:val="auto"/>
          <w:sz w:val="24"/>
          <w:szCs w:val="24"/>
          <w:highlight w:val="none"/>
        </w:rPr>
      </w:pPr>
      <w:r>
        <w:rPr>
          <w:rFonts w:hint="eastAsia" w:ascii="Times New Roman" w:hAnsi="Times New Roman" w:eastAsia="仿宋_GB2312" w:cs="仿宋_GB2312"/>
          <w:b/>
          <w:bCs/>
          <w:color w:val="auto"/>
          <w:sz w:val="24"/>
          <w:szCs w:val="24"/>
          <w:highlight w:val="none"/>
        </w:rPr>
        <w:t>五、安全服务承诺函</w:t>
      </w:r>
    </w:p>
    <w:p w14:paraId="7F8B380C">
      <w:pPr>
        <w:spacing w:line="360" w:lineRule="exact"/>
        <w:jc w:val="left"/>
        <w:rPr>
          <w:rFonts w:cs="仿宋_GB2312"/>
          <w:b/>
          <w:bCs/>
          <w:color w:val="auto"/>
          <w:sz w:val="24"/>
          <w:highlight w:val="none"/>
          <w:u w:val="single"/>
        </w:rPr>
      </w:pPr>
      <w:r>
        <w:rPr>
          <w:rFonts w:hint="eastAsia" w:cs="仿宋_GB2312"/>
          <w:b/>
          <w:bCs/>
          <w:color w:val="auto"/>
          <w:sz w:val="24"/>
          <w:highlight w:val="none"/>
          <w:u w:val="single"/>
        </w:rPr>
        <w:t>杭州临江环境能源有限公司：</w:t>
      </w:r>
    </w:p>
    <w:p w14:paraId="1AF22636">
      <w:pPr>
        <w:spacing w:line="360" w:lineRule="exact"/>
        <w:ind w:firstLine="720" w:firstLineChars="300"/>
        <w:jc w:val="left"/>
        <w:rPr>
          <w:rFonts w:cs="仿宋_GB2312"/>
          <w:color w:val="auto"/>
          <w:sz w:val="24"/>
          <w:highlight w:val="none"/>
        </w:rPr>
      </w:pPr>
    </w:p>
    <w:p w14:paraId="56B0B737">
      <w:pPr>
        <w:spacing w:line="360" w:lineRule="exact"/>
        <w:ind w:firstLine="720" w:firstLineChars="300"/>
        <w:jc w:val="left"/>
        <w:rPr>
          <w:rFonts w:cs="仿宋_GB2312"/>
          <w:color w:val="auto"/>
          <w:sz w:val="24"/>
          <w:highlight w:val="none"/>
        </w:rPr>
      </w:pPr>
      <w:r>
        <w:rPr>
          <w:rFonts w:hint="eastAsia" w:cs="仿宋_GB2312"/>
          <w:color w:val="auto"/>
          <w:sz w:val="24"/>
          <w:highlight w:val="none"/>
          <w:u w:val="single"/>
        </w:rPr>
        <w:t>（投标人名称）</w:t>
      </w:r>
      <w:r>
        <w:rPr>
          <w:rFonts w:hint="eastAsia" w:cs="仿宋_GB2312"/>
          <w:color w:val="auto"/>
          <w:sz w:val="24"/>
          <w:highlight w:val="none"/>
        </w:rPr>
        <w:t>承诺如成为</w:t>
      </w:r>
      <w:r>
        <w:rPr>
          <w:rFonts w:hint="eastAsia" w:cs="仿宋_GB2312"/>
          <w:color w:val="auto"/>
          <w:sz w:val="24"/>
          <w:highlight w:val="none"/>
          <w:u w:val="single"/>
        </w:rPr>
        <w:t>2025年—2028年垃圾吊改造项目</w:t>
      </w:r>
      <w:r>
        <w:rPr>
          <w:rFonts w:hint="eastAsia" w:cs="仿宋_GB2312"/>
          <w:color w:val="auto"/>
          <w:sz w:val="24"/>
          <w:highlight w:val="none"/>
        </w:rPr>
        <w:t>（招标编号：</w:t>
      </w:r>
      <w:r>
        <w:rPr>
          <w:rFonts w:hint="eastAsia" w:cs="仿宋_GB2312"/>
          <w:color w:val="auto"/>
          <w:sz w:val="24"/>
          <w:highlight w:val="none"/>
          <w:u w:val="single"/>
          <w:lang w:eastAsia="zh-CN"/>
        </w:rPr>
        <w:t>NY-1FZB2505026</w:t>
      </w:r>
      <w:r>
        <w:rPr>
          <w:rFonts w:hint="eastAsia" w:cs="仿宋_GB2312"/>
          <w:color w:val="auto"/>
          <w:sz w:val="24"/>
          <w:highlight w:val="none"/>
          <w:u w:val="single"/>
        </w:rPr>
        <w:t xml:space="preserve">  </w:t>
      </w:r>
      <w:r>
        <w:rPr>
          <w:rFonts w:hint="eastAsia" w:cs="仿宋_GB2312"/>
          <w:color w:val="auto"/>
          <w:sz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54718B67">
      <w:pPr>
        <w:spacing w:line="400" w:lineRule="exact"/>
        <w:rPr>
          <w:rFonts w:hint="eastAsia" w:ascii="宋体" w:hAnsi="宋体" w:eastAsia="宋体" w:cs="宋体"/>
          <w:color w:val="auto"/>
          <w:sz w:val="18"/>
          <w:szCs w:val="18"/>
          <w:highlight w:val="none"/>
        </w:rPr>
      </w:pPr>
    </w:p>
    <w:p w14:paraId="22FDC0C4">
      <w:pPr>
        <w:spacing w:line="400" w:lineRule="exact"/>
        <w:rPr>
          <w:rFonts w:hint="eastAsia" w:ascii="宋体" w:hAnsi="宋体" w:eastAsia="宋体" w:cs="宋体"/>
          <w:color w:val="auto"/>
          <w:sz w:val="18"/>
          <w:szCs w:val="18"/>
          <w:highlight w:val="none"/>
        </w:rPr>
      </w:pPr>
    </w:p>
    <w:p w14:paraId="7BD8EA94">
      <w:pPr>
        <w:pStyle w:val="9"/>
        <w:spacing w:line="400" w:lineRule="exact"/>
        <w:ind w:firstLine="210"/>
        <w:rPr>
          <w:rFonts w:hint="eastAsia" w:ascii="宋体" w:hAnsi="宋体" w:cs="宋体"/>
          <w:color w:val="auto"/>
          <w:highlight w:val="none"/>
        </w:rPr>
      </w:pPr>
    </w:p>
    <w:p w14:paraId="4BAC25A1">
      <w:pPr>
        <w:pStyle w:val="24"/>
        <w:spacing w:line="400" w:lineRule="exact"/>
        <w:ind w:firstLine="240"/>
        <w:rPr>
          <w:rFonts w:eastAsia="仿宋_GB2312" w:cs="仿宋_GB2312"/>
          <w:color w:val="auto"/>
          <w:kern w:val="2"/>
          <w:sz w:val="24"/>
          <w:szCs w:val="24"/>
          <w:highlight w:val="none"/>
        </w:rPr>
      </w:pPr>
    </w:p>
    <w:p w14:paraId="262C60B0">
      <w:pPr>
        <w:pStyle w:val="12"/>
        <w:spacing w:line="400" w:lineRule="exact"/>
        <w:rPr>
          <w:rFonts w:ascii="Times New Roman" w:hAnsi="Times New Roman" w:eastAsia="仿宋_GB2312" w:cs="仿宋_GB2312"/>
          <w:color w:val="auto"/>
          <w:kern w:val="2"/>
          <w:sz w:val="24"/>
          <w:szCs w:val="24"/>
          <w:highlight w:val="none"/>
        </w:rPr>
      </w:pPr>
      <w:r>
        <w:rPr>
          <w:rFonts w:hint="eastAsia" w:ascii="Times New Roman" w:hAnsi="Times New Roman" w:eastAsia="仿宋_GB2312" w:cs="仿宋_GB2312"/>
          <w:color w:val="auto"/>
          <w:kern w:val="2"/>
          <w:sz w:val="24"/>
          <w:szCs w:val="24"/>
          <w:highlight w:val="none"/>
        </w:rPr>
        <w:t>投标人（盖公章）：</w:t>
      </w:r>
    </w:p>
    <w:p w14:paraId="0F86198E">
      <w:pPr>
        <w:pStyle w:val="12"/>
        <w:spacing w:line="400" w:lineRule="exact"/>
        <w:rPr>
          <w:rFonts w:ascii="Times New Roman" w:hAnsi="Times New Roman" w:eastAsia="仿宋_GB2312" w:cs="仿宋_GB2312"/>
          <w:color w:val="auto"/>
          <w:kern w:val="2"/>
          <w:sz w:val="24"/>
          <w:szCs w:val="24"/>
          <w:highlight w:val="none"/>
        </w:rPr>
      </w:pPr>
      <w:r>
        <w:rPr>
          <w:rFonts w:hint="eastAsia" w:ascii="Times New Roman" w:hAnsi="Times New Roman" w:eastAsia="仿宋_GB2312" w:cs="仿宋_GB2312"/>
          <w:color w:val="auto"/>
          <w:kern w:val="2"/>
          <w:sz w:val="24"/>
          <w:szCs w:val="24"/>
          <w:highlight w:val="none"/>
        </w:rPr>
        <w:t>法定代表人或其委托代理人（签字或盖章）：</w:t>
      </w:r>
    </w:p>
    <w:p w14:paraId="268F195B">
      <w:pPr>
        <w:pStyle w:val="9"/>
        <w:spacing w:line="400" w:lineRule="exact"/>
        <w:ind w:firstLine="210"/>
        <w:rPr>
          <w:rFonts w:eastAsia="仿宋_GB2312" w:cs="仿宋_GB2312"/>
          <w:color w:val="auto"/>
          <w:sz w:val="24"/>
          <w:szCs w:val="24"/>
          <w:highlight w:val="none"/>
        </w:rPr>
      </w:pPr>
      <w:r>
        <w:rPr>
          <w:rFonts w:hint="eastAsia" w:eastAsia="仿宋_GB2312" w:cs="仿宋_GB2312"/>
          <w:color w:val="auto"/>
          <w:sz w:val="24"/>
          <w:szCs w:val="24"/>
          <w:highlight w:val="none"/>
        </w:rPr>
        <w:t xml:space="preserve">日期：      年    月    日  </w:t>
      </w:r>
    </w:p>
    <w:p w14:paraId="5ACC7772">
      <w:pPr>
        <w:pStyle w:val="2"/>
        <w:spacing w:line="400" w:lineRule="exact"/>
        <w:outlineLvl w:val="9"/>
        <w:rPr>
          <w:rFonts w:hint="eastAsia" w:ascii="宋体" w:hAnsi="宋体" w:eastAsia="宋体" w:cs="宋体"/>
          <w:color w:val="auto"/>
          <w:highlight w:val="none"/>
        </w:rPr>
      </w:pPr>
    </w:p>
    <w:p w14:paraId="710F43E0">
      <w:pPr>
        <w:spacing w:line="400" w:lineRule="exact"/>
        <w:rPr>
          <w:rFonts w:hint="eastAsia" w:ascii="宋体" w:hAnsi="宋体" w:eastAsia="宋体" w:cs="宋体"/>
          <w:color w:val="auto"/>
          <w:highlight w:val="none"/>
        </w:rPr>
      </w:pPr>
    </w:p>
    <w:p w14:paraId="71ABE50E">
      <w:pPr>
        <w:wordWrap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A7F2D83">
      <w:pPr>
        <w:spacing w:before="101" w:after="240" w:afterLines="100" w:line="400" w:lineRule="exact"/>
        <w:jc w:val="center"/>
        <w:rPr>
          <w:rFonts w:cs="仿宋_GB2312"/>
          <w:b/>
          <w:bCs/>
          <w:color w:val="auto"/>
          <w:kern w:val="0"/>
          <w:sz w:val="24"/>
          <w:highlight w:val="none"/>
        </w:rPr>
      </w:pPr>
      <w:r>
        <w:rPr>
          <w:rFonts w:hint="eastAsia" w:cs="仿宋_GB2312"/>
          <w:b/>
          <w:bCs/>
          <w:color w:val="auto"/>
          <w:kern w:val="0"/>
          <w:sz w:val="24"/>
          <w:highlight w:val="none"/>
        </w:rPr>
        <w:t>六、合法知识产权承诺函</w:t>
      </w:r>
    </w:p>
    <w:p w14:paraId="2C01FC4B">
      <w:pPr>
        <w:spacing w:before="120" w:beforeLines="50" w:after="120" w:afterLines="50" w:line="400" w:lineRule="exac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杭州临江环境能源有限公司 </w:t>
      </w:r>
    </w:p>
    <w:p w14:paraId="63388CD4">
      <w:pPr>
        <w:spacing w:line="360" w:lineRule="exact"/>
        <w:ind w:firstLine="480" w:firstLineChars="200"/>
        <w:jc w:val="left"/>
        <w:rPr>
          <w:rFonts w:cs="仿宋_GB2312"/>
          <w:color w:val="auto"/>
          <w:sz w:val="24"/>
          <w:highlight w:val="none"/>
        </w:rPr>
      </w:pPr>
      <w:r>
        <w:rPr>
          <w:rFonts w:hint="eastAsia" w:cs="仿宋_GB2312"/>
          <w:color w:val="auto"/>
          <w:sz w:val="24"/>
          <w:highlight w:val="none"/>
        </w:rPr>
        <w:t>我公司愿参与</w:t>
      </w:r>
      <w:r>
        <w:rPr>
          <w:rFonts w:hint="eastAsia" w:cs="仿宋_GB2312"/>
          <w:color w:val="auto"/>
          <w:sz w:val="24"/>
          <w:highlight w:val="none"/>
          <w:u w:val="single"/>
        </w:rPr>
        <w:t xml:space="preserve"> 2025年—2028年垃圾吊改造项目</w:t>
      </w:r>
      <w:r>
        <w:rPr>
          <w:rFonts w:hint="eastAsia" w:cs="仿宋_GB2312"/>
          <w:color w:val="auto"/>
          <w:sz w:val="24"/>
          <w:highlight w:val="none"/>
        </w:rPr>
        <w:t>（招标编号：</w:t>
      </w:r>
      <w:r>
        <w:rPr>
          <w:rFonts w:hint="eastAsia" w:cs="仿宋_GB2312"/>
          <w:color w:val="auto"/>
          <w:sz w:val="24"/>
          <w:highlight w:val="none"/>
          <w:u w:val="single"/>
          <w:lang w:eastAsia="zh-CN"/>
        </w:rPr>
        <w:t>NY-1FZB2505026</w:t>
      </w:r>
      <w:r>
        <w:rPr>
          <w:rFonts w:hint="eastAsia" w:cs="仿宋_GB2312"/>
          <w:color w:val="auto"/>
          <w:sz w:val="24"/>
          <w:highlight w:val="none"/>
          <w:u w:val="single"/>
        </w:rPr>
        <w:t xml:space="preserve">  </w:t>
      </w:r>
      <w:r>
        <w:rPr>
          <w:rFonts w:hint="eastAsia" w:cs="仿宋_GB2312"/>
          <w:color w:val="auto"/>
          <w:sz w:val="24"/>
          <w:highlight w:val="none"/>
        </w:rPr>
        <w:t>）投标，我司承诺：</w:t>
      </w:r>
    </w:p>
    <w:p w14:paraId="0B7F9B14">
      <w:pPr>
        <w:spacing w:line="360" w:lineRule="exact"/>
        <w:ind w:firstLine="480" w:firstLineChars="200"/>
        <w:jc w:val="left"/>
        <w:rPr>
          <w:rFonts w:cs="仿宋_GB2312"/>
          <w:color w:val="auto"/>
          <w:sz w:val="24"/>
          <w:highlight w:val="none"/>
        </w:rPr>
      </w:pPr>
      <w:r>
        <w:rPr>
          <w:rFonts w:hint="eastAsia" w:cs="仿宋_GB2312"/>
          <w:color w:val="auto"/>
          <w:sz w:val="24"/>
          <w:highlight w:val="none"/>
        </w:rPr>
        <w:t>提供的涉及本项目所有货物（包括其整体及其所包含的所有组成部分）或者服务均已合法地获得并有效适用于相应所在国家和地区的所有有关知识产权。若招标人因购买和使用我司所售货物或服务而遭受任何第三方的追索、诉讼或仲裁，或受到任何国家政府部门、行政机关、司法机关的处罚、判决、执行，我司将赔偿招标人因此而遭受的一切损失（包括但不限于经济支出、诉讼费、律师费、保全费及保全担保费等）。</w:t>
      </w:r>
    </w:p>
    <w:p w14:paraId="396CFD9F">
      <w:pPr>
        <w:spacing w:line="360" w:lineRule="exact"/>
        <w:ind w:firstLine="480" w:firstLineChars="200"/>
        <w:jc w:val="left"/>
        <w:rPr>
          <w:rFonts w:cs="仿宋_GB2312"/>
          <w:color w:val="auto"/>
          <w:sz w:val="24"/>
          <w:highlight w:val="none"/>
        </w:rPr>
      </w:pPr>
      <w:r>
        <w:rPr>
          <w:rFonts w:hint="eastAsia" w:cs="仿宋_GB2312"/>
          <w:color w:val="auto"/>
          <w:sz w:val="24"/>
          <w:highlight w:val="none"/>
        </w:rPr>
        <w:t>如我司未做到上述承诺的，你方有权取消我司投标或中标资格，并向我司追究你方因此遭受的全部损失。</w:t>
      </w:r>
    </w:p>
    <w:p w14:paraId="254A8ECF">
      <w:pPr>
        <w:spacing w:line="360" w:lineRule="exact"/>
        <w:ind w:firstLine="720" w:firstLineChars="300"/>
        <w:jc w:val="left"/>
        <w:rPr>
          <w:rFonts w:cs="仿宋_GB2312"/>
          <w:color w:val="auto"/>
          <w:sz w:val="24"/>
          <w:highlight w:val="none"/>
        </w:rPr>
      </w:pPr>
      <w:r>
        <w:rPr>
          <w:rFonts w:hint="eastAsia" w:cs="仿宋_GB2312"/>
          <w:color w:val="auto"/>
          <w:sz w:val="24"/>
          <w:highlight w:val="none"/>
        </w:rPr>
        <w:t xml:space="preserve">　 </w:t>
      </w:r>
    </w:p>
    <w:p w14:paraId="38557111">
      <w:pPr>
        <w:spacing w:line="360" w:lineRule="exact"/>
        <w:ind w:firstLine="720" w:firstLineChars="300"/>
        <w:jc w:val="left"/>
        <w:rPr>
          <w:rFonts w:cs="仿宋_GB2312"/>
          <w:color w:val="auto"/>
          <w:sz w:val="24"/>
          <w:highlight w:val="none"/>
        </w:rPr>
      </w:pPr>
      <w:r>
        <w:rPr>
          <w:rFonts w:hint="eastAsia" w:cs="仿宋_GB2312"/>
          <w:color w:val="auto"/>
          <w:sz w:val="24"/>
          <w:highlight w:val="none"/>
        </w:rPr>
        <w:t xml:space="preserve">投标人名称（电子签章）：       </w:t>
      </w:r>
    </w:p>
    <w:p w14:paraId="40DF7929">
      <w:pPr>
        <w:spacing w:line="360" w:lineRule="exact"/>
        <w:ind w:firstLine="720" w:firstLineChars="300"/>
        <w:jc w:val="left"/>
        <w:rPr>
          <w:rFonts w:cs="仿宋_GB2312"/>
          <w:color w:val="auto"/>
          <w:sz w:val="24"/>
          <w:highlight w:val="none"/>
        </w:rPr>
      </w:pPr>
      <w:r>
        <w:rPr>
          <w:rFonts w:hint="eastAsia" w:cs="仿宋_GB2312"/>
          <w:color w:val="auto"/>
          <w:sz w:val="24"/>
          <w:highlight w:val="none"/>
        </w:rPr>
        <w:t xml:space="preserve">地址：______________________________________________    </w:t>
      </w:r>
    </w:p>
    <w:p w14:paraId="5837E785">
      <w:pPr>
        <w:spacing w:line="360" w:lineRule="exact"/>
        <w:ind w:firstLine="720" w:firstLineChars="300"/>
        <w:jc w:val="left"/>
        <w:rPr>
          <w:rFonts w:cs="仿宋_GB2312"/>
          <w:color w:val="auto"/>
          <w:sz w:val="24"/>
          <w:highlight w:val="none"/>
        </w:rPr>
      </w:pPr>
      <w:r>
        <w:rPr>
          <w:rFonts w:hint="eastAsia" w:cs="仿宋_GB2312"/>
          <w:color w:val="auto"/>
          <w:sz w:val="24"/>
          <w:highlight w:val="none"/>
        </w:rPr>
        <w:t>传真：______________________</w:t>
      </w:r>
      <w:r>
        <w:rPr>
          <w:rFonts w:hint="eastAsia" w:cs="仿宋_GB2312"/>
          <w:color w:val="auto"/>
          <w:sz w:val="24"/>
          <w:highlight w:val="none"/>
        </w:rPr>
        <w:tab/>
      </w:r>
      <w:r>
        <w:rPr>
          <w:rFonts w:hint="eastAsia" w:cs="仿宋_GB2312"/>
          <w:color w:val="auto"/>
          <w:sz w:val="24"/>
          <w:highlight w:val="none"/>
        </w:rPr>
        <w:t xml:space="preserve">电话：__________________        </w:t>
      </w:r>
    </w:p>
    <w:p w14:paraId="73B9BA0C">
      <w:pPr>
        <w:spacing w:line="360" w:lineRule="exact"/>
        <w:ind w:firstLine="720" w:firstLineChars="300"/>
        <w:jc w:val="left"/>
        <w:rPr>
          <w:rFonts w:cs="仿宋_GB2312"/>
          <w:color w:val="auto"/>
          <w:sz w:val="24"/>
          <w:highlight w:val="none"/>
        </w:rPr>
      </w:pPr>
      <w:r>
        <w:rPr>
          <w:rFonts w:hint="eastAsia" w:cs="仿宋_GB2312"/>
          <w:color w:val="auto"/>
          <w:sz w:val="24"/>
          <w:highlight w:val="none"/>
        </w:rPr>
        <w:t xml:space="preserve">邮编：______________________  </w:t>
      </w:r>
    </w:p>
    <w:p w14:paraId="37234B4E">
      <w:pPr>
        <w:spacing w:line="360" w:lineRule="exact"/>
        <w:ind w:firstLine="720" w:firstLineChars="300"/>
        <w:jc w:val="left"/>
        <w:rPr>
          <w:rFonts w:cs="仿宋_GB2312"/>
          <w:color w:val="auto"/>
          <w:sz w:val="24"/>
          <w:highlight w:val="none"/>
        </w:rPr>
        <w:sectPr>
          <w:headerReference r:id="rId12" w:type="first"/>
          <w:pgSz w:w="11906" w:h="16838"/>
          <w:pgMar w:top="1702" w:right="1644" w:bottom="1440" w:left="1644" w:header="567" w:footer="567" w:gutter="0"/>
          <w:cols w:space="720" w:num="1"/>
          <w:docGrid w:linePitch="312" w:charSpace="0"/>
        </w:sectPr>
      </w:pPr>
      <w:r>
        <w:rPr>
          <w:rFonts w:hint="eastAsia" w:cs="仿宋_GB2312"/>
          <w:color w:val="auto"/>
          <w:sz w:val="24"/>
          <w:highlight w:val="none"/>
        </w:rPr>
        <w:t>电子邮箱：</w:t>
      </w:r>
    </w:p>
    <w:p w14:paraId="600CCD5F">
      <w:pPr>
        <w:adjustRightInd w:val="0"/>
        <w:snapToGrid w:val="0"/>
        <w:spacing w:line="360" w:lineRule="auto"/>
        <w:jc w:val="center"/>
        <w:outlineLvl w:val="1"/>
        <w:rPr>
          <w:rFonts w:cs="仿宋_GB2312"/>
          <w:b/>
          <w:bCs/>
          <w:color w:val="auto"/>
          <w:kern w:val="0"/>
          <w:sz w:val="24"/>
          <w:highlight w:val="none"/>
        </w:rPr>
      </w:pPr>
      <w:bookmarkStart w:id="141" w:name="_Toc32563"/>
      <w:r>
        <w:rPr>
          <w:rFonts w:hint="eastAsia" w:cs="仿宋_GB2312"/>
          <w:b/>
          <w:bCs/>
          <w:color w:val="auto"/>
          <w:kern w:val="0"/>
          <w:sz w:val="24"/>
          <w:highlight w:val="none"/>
        </w:rPr>
        <w:t>七、投标人认为有必要的其他内容等</w:t>
      </w:r>
      <w:bookmarkEnd w:id="141"/>
    </w:p>
    <w:p w14:paraId="662F8DC6">
      <w:pPr>
        <w:adjustRightInd w:val="0"/>
        <w:snapToGrid w:val="0"/>
        <w:spacing w:line="360" w:lineRule="auto"/>
        <w:outlineLvl w:val="1"/>
        <w:rPr>
          <w:rFonts w:cs="仿宋_GB2312"/>
          <w:color w:val="auto"/>
          <w:sz w:val="24"/>
          <w:highlight w:val="none"/>
        </w:rPr>
      </w:pPr>
    </w:p>
    <w:p w14:paraId="495EE415">
      <w:pPr>
        <w:adjustRightInd w:val="0"/>
        <w:snapToGrid w:val="0"/>
        <w:spacing w:line="360" w:lineRule="auto"/>
        <w:outlineLvl w:val="1"/>
        <w:rPr>
          <w:rFonts w:cs="仿宋_GB2312"/>
          <w:color w:val="auto"/>
          <w:sz w:val="24"/>
          <w:highlight w:val="none"/>
        </w:rPr>
      </w:pPr>
    </w:p>
    <w:p w14:paraId="5860DCD5">
      <w:pPr>
        <w:adjustRightInd w:val="0"/>
        <w:snapToGrid w:val="0"/>
        <w:spacing w:line="360" w:lineRule="auto"/>
        <w:outlineLvl w:val="1"/>
        <w:rPr>
          <w:rFonts w:cs="仿宋_GB2312"/>
          <w:color w:val="auto"/>
          <w:sz w:val="24"/>
          <w:highlight w:val="none"/>
        </w:rPr>
      </w:pPr>
    </w:p>
    <w:p w14:paraId="1704C41A">
      <w:pPr>
        <w:adjustRightInd w:val="0"/>
        <w:snapToGrid w:val="0"/>
        <w:spacing w:line="360" w:lineRule="auto"/>
        <w:outlineLvl w:val="1"/>
        <w:rPr>
          <w:rFonts w:cs="仿宋_GB2312"/>
          <w:color w:val="auto"/>
          <w:sz w:val="24"/>
          <w:highlight w:val="none"/>
        </w:rPr>
      </w:pPr>
    </w:p>
    <w:p w14:paraId="2CE3E26D">
      <w:pPr>
        <w:spacing w:before="65" w:line="440" w:lineRule="exact"/>
        <w:ind w:firstLine="1"/>
        <w:rPr>
          <w:rFonts w:cs="仿宋_GB2312"/>
          <w:color w:val="auto"/>
          <w:sz w:val="24"/>
          <w:highlight w:val="none"/>
        </w:rPr>
      </w:pPr>
      <w:r>
        <w:rPr>
          <w:rFonts w:hint="eastAsia" w:cs="仿宋_GB2312"/>
          <w:color w:val="auto"/>
          <w:spacing w:val="8"/>
          <w:sz w:val="24"/>
          <w:highlight w:val="none"/>
        </w:rPr>
        <w:t>投</w:t>
      </w:r>
      <w:r>
        <w:rPr>
          <w:rFonts w:hint="eastAsia" w:cs="仿宋_GB2312"/>
          <w:color w:val="auto"/>
          <w:spacing w:val="7"/>
          <w:sz w:val="24"/>
          <w:highlight w:val="none"/>
        </w:rPr>
        <w:t>标人（盖公章</w:t>
      </w:r>
      <w:r>
        <w:rPr>
          <w:rFonts w:hint="eastAsia" w:cs="仿宋_GB2312"/>
          <w:color w:val="auto"/>
          <w:spacing w:val="10"/>
          <w:sz w:val="24"/>
          <w:highlight w:val="none"/>
        </w:rPr>
        <w:t>）：</w:t>
      </w:r>
    </w:p>
    <w:p w14:paraId="3D72464A">
      <w:pPr>
        <w:spacing w:before="162" w:line="440" w:lineRule="exact"/>
        <w:rPr>
          <w:rFonts w:cs="仿宋_GB2312"/>
          <w:color w:val="auto"/>
          <w:sz w:val="24"/>
          <w:highlight w:val="none"/>
        </w:rPr>
      </w:pPr>
      <w:r>
        <w:rPr>
          <w:rFonts w:hint="eastAsia" w:cs="仿宋_GB2312"/>
          <w:color w:val="auto"/>
          <w:spacing w:val="9"/>
          <w:sz w:val="24"/>
          <w:highlight w:val="none"/>
        </w:rPr>
        <w:t>法定代表人</w:t>
      </w:r>
      <w:r>
        <w:rPr>
          <w:rFonts w:hint="eastAsia" w:cs="仿宋_GB2312"/>
          <w:snapToGrid w:val="0"/>
          <w:color w:val="auto"/>
          <w:kern w:val="0"/>
          <w:sz w:val="24"/>
          <w:highlight w:val="none"/>
        </w:rPr>
        <w:t>（负责人）</w:t>
      </w:r>
      <w:r>
        <w:rPr>
          <w:rFonts w:hint="eastAsia" w:cs="仿宋_GB2312"/>
          <w:color w:val="auto"/>
          <w:spacing w:val="9"/>
          <w:sz w:val="24"/>
          <w:highlight w:val="none"/>
        </w:rPr>
        <w:t>或其委托代理人（签字或</w:t>
      </w:r>
      <w:r>
        <w:rPr>
          <w:rFonts w:hint="eastAsia" w:cs="仿宋_GB2312"/>
          <w:color w:val="auto"/>
          <w:spacing w:val="8"/>
          <w:sz w:val="24"/>
          <w:highlight w:val="none"/>
        </w:rPr>
        <w:t>盖章</w:t>
      </w:r>
      <w:r>
        <w:rPr>
          <w:rFonts w:hint="eastAsia" w:cs="仿宋_GB2312"/>
          <w:color w:val="auto"/>
          <w:spacing w:val="10"/>
          <w:sz w:val="24"/>
          <w:highlight w:val="none"/>
        </w:rPr>
        <w:t>）：</w:t>
      </w:r>
    </w:p>
    <w:p w14:paraId="63FF64CA">
      <w:pPr>
        <w:spacing w:before="161" w:line="440" w:lineRule="exact"/>
        <w:ind w:firstLine="35"/>
        <w:rPr>
          <w:rFonts w:cs="仿宋_GB2312"/>
          <w:color w:val="auto"/>
          <w:sz w:val="24"/>
          <w:highlight w:val="none"/>
        </w:rPr>
      </w:pPr>
      <w:r>
        <w:rPr>
          <w:rFonts w:hint="eastAsia" w:cs="仿宋_GB2312"/>
          <w:color w:val="auto"/>
          <w:spacing w:val="1"/>
          <w:sz w:val="24"/>
          <w:highlight w:val="none"/>
        </w:rPr>
        <w:t>日期：年月   日</w:t>
      </w:r>
    </w:p>
    <w:p w14:paraId="57CA8667">
      <w:pPr>
        <w:adjustRightInd w:val="0"/>
        <w:snapToGrid w:val="0"/>
        <w:spacing w:line="360" w:lineRule="auto"/>
        <w:jc w:val="center"/>
        <w:outlineLvl w:val="1"/>
        <w:rPr>
          <w:rFonts w:cs="仿宋_GB2312"/>
          <w:color w:val="auto"/>
          <w:sz w:val="24"/>
          <w:highlight w:val="none"/>
        </w:rPr>
      </w:pPr>
    </w:p>
    <w:p w14:paraId="0F930246">
      <w:pPr>
        <w:adjustRightInd w:val="0"/>
        <w:snapToGrid w:val="0"/>
        <w:spacing w:line="360" w:lineRule="auto"/>
        <w:jc w:val="center"/>
        <w:outlineLvl w:val="1"/>
        <w:rPr>
          <w:rFonts w:cs="仿宋_GB2312"/>
          <w:color w:val="auto"/>
          <w:sz w:val="24"/>
          <w:highlight w:val="none"/>
        </w:rPr>
      </w:pPr>
    </w:p>
    <w:p w14:paraId="15CAFDA4">
      <w:pPr>
        <w:adjustRightInd w:val="0"/>
        <w:snapToGrid w:val="0"/>
        <w:spacing w:line="360" w:lineRule="auto"/>
        <w:jc w:val="center"/>
        <w:outlineLvl w:val="1"/>
        <w:rPr>
          <w:rFonts w:cs="仿宋_GB2312"/>
          <w:color w:val="auto"/>
          <w:sz w:val="24"/>
          <w:highlight w:val="none"/>
        </w:rPr>
      </w:pPr>
    </w:p>
    <w:p w14:paraId="277137A0">
      <w:pPr>
        <w:adjustRightInd w:val="0"/>
        <w:snapToGrid w:val="0"/>
        <w:spacing w:line="360" w:lineRule="auto"/>
        <w:jc w:val="center"/>
        <w:outlineLvl w:val="1"/>
        <w:rPr>
          <w:rFonts w:cs="仿宋_GB2312"/>
          <w:color w:val="auto"/>
          <w:sz w:val="24"/>
          <w:highlight w:val="none"/>
        </w:rPr>
      </w:pPr>
    </w:p>
    <w:p w14:paraId="3D6FADB2">
      <w:pPr>
        <w:adjustRightInd w:val="0"/>
        <w:snapToGrid w:val="0"/>
        <w:spacing w:line="360" w:lineRule="auto"/>
        <w:jc w:val="center"/>
        <w:outlineLvl w:val="1"/>
        <w:rPr>
          <w:rFonts w:cs="仿宋_GB2312"/>
          <w:color w:val="auto"/>
          <w:sz w:val="24"/>
          <w:highlight w:val="none"/>
        </w:rPr>
      </w:pPr>
    </w:p>
    <w:p w14:paraId="006764D4">
      <w:pPr>
        <w:adjustRightInd w:val="0"/>
        <w:snapToGrid w:val="0"/>
        <w:spacing w:line="360" w:lineRule="auto"/>
        <w:jc w:val="center"/>
        <w:outlineLvl w:val="1"/>
        <w:rPr>
          <w:rFonts w:cs="仿宋_GB2312"/>
          <w:color w:val="auto"/>
          <w:sz w:val="24"/>
          <w:highlight w:val="none"/>
        </w:rPr>
      </w:pPr>
    </w:p>
    <w:p w14:paraId="1993C05B">
      <w:pPr>
        <w:adjustRightInd w:val="0"/>
        <w:snapToGrid w:val="0"/>
        <w:spacing w:line="360" w:lineRule="auto"/>
        <w:jc w:val="center"/>
        <w:outlineLvl w:val="1"/>
        <w:rPr>
          <w:rFonts w:cs="仿宋_GB2312"/>
          <w:color w:val="auto"/>
          <w:sz w:val="24"/>
          <w:highlight w:val="none"/>
        </w:rPr>
      </w:pPr>
    </w:p>
    <w:p w14:paraId="54472466">
      <w:pPr>
        <w:adjustRightInd w:val="0"/>
        <w:snapToGrid w:val="0"/>
        <w:spacing w:line="360" w:lineRule="auto"/>
        <w:jc w:val="center"/>
        <w:outlineLvl w:val="1"/>
        <w:rPr>
          <w:rFonts w:cs="仿宋_GB2312"/>
          <w:color w:val="auto"/>
          <w:sz w:val="24"/>
          <w:highlight w:val="none"/>
        </w:rPr>
      </w:pPr>
    </w:p>
    <w:p w14:paraId="484C2DE2">
      <w:pPr>
        <w:adjustRightInd w:val="0"/>
        <w:snapToGrid w:val="0"/>
        <w:spacing w:line="360" w:lineRule="auto"/>
        <w:jc w:val="center"/>
        <w:outlineLvl w:val="1"/>
        <w:rPr>
          <w:rFonts w:cs="仿宋_GB2312"/>
          <w:color w:val="auto"/>
          <w:sz w:val="24"/>
          <w:highlight w:val="none"/>
        </w:rPr>
      </w:pPr>
    </w:p>
    <w:p w14:paraId="2D89186F">
      <w:pPr>
        <w:tabs>
          <w:tab w:val="left" w:pos="3000"/>
        </w:tabs>
        <w:adjustRightInd w:val="0"/>
        <w:snapToGrid w:val="0"/>
        <w:spacing w:line="360" w:lineRule="auto"/>
        <w:jc w:val="left"/>
        <w:outlineLvl w:val="1"/>
        <w:rPr>
          <w:rFonts w:cs="仿宋_GB2312"/>
          <w:color w:val="auto"/>
          <w:sz w:val="24"/>
          <w:highlight w:val="none"/>
        </w:rPr>
      </w:pPr>
      <w:r>
        <w:rPr>
          <w:rFonts w:hint="eastAsia" w:cs="仿宋_GB2312"/>
          <w:color w:val="auto"/>
          <w:sz w:val="24"/>
          <w:highlight w:val="none"/>
        </w:rPr>
        <w:tab/>
      </w:r>
    </w:p>
    <w:p w14:paraId="7F7B3249">
      <w:pPr>
        <w:adjustRightInd w:val="0"/>
        <w:snapToGrid w:val="0"/>
        <w:spacing w:line="360" w:lineRule="auto"/>
        <w:jc w:val="center"/>
        <w:outlineLvl w:val="1"/>
        <w:rPr>
          <w:rFonts w:cs="仿宋_GB2312"/>
          <w:color w:val="auto"/>
          <w:sz w:val="24"/>
          <w:highlight w:val="none"/>
        </w:rPr>
      </w:pPr>
    </w:p>
    <w:p w14:paraId="3445242A">
      <w:pPr>
        <w:adjustRightInd w:val="0"/>
        <w:snapToGrid w:val="0"/>
        <w:spacing w:line="360" w:lineRule="auto"/>
        <w:jc w:val="center"/>
        <w:outlineLvl w:val="1"/>
        <w:rPr>
          <w:rFonts w:cs="仿宋_GB2312"/>
          <w:color w:val="auto"/>
          <w:sz w:val="24"/>
          <w:highlight w:val="none"/>
        </w:rPr>
      </w:pPr>
    </w:p>
    <w:p w14:paraId="5B892CA8">
      <w:pPr>
        <w:adjustRightInd w:val="0"/>
        <w:snapToGrid w:val="0"/>
        <w:spacing w:line="360" w:lineRule="auto"/>
        <w:jc w:val="center"/>
        <w:outlineLvl w:val="1"/>
        <w:rPr>
          <w:rFonts w:cs="仿宋_GB2312"/>
          <w:color w:val="auto"/>
          <w:sz w:val="24"/>
          <w:highlight w:val="none"/>
        </w:rPr>
      </w:pPr>
    </w:p>
    <w:p w14:paraId="38831B39">
      <w:pPr>
        <w:adjustRightInd w:val="0"/>
        <w:snapToGrid w:val="0"/>
        <w:spacing w:line="360" w:lineRule="auto"/>
        <w:jc w:val="center"/>
        <w:outlineLvl w:val="1"/>
        <w:rPr>
          <w:rFonts w:cs="仿宋_GB2312"/>
          <w:color w:val="auto"/>
          <w:sz w:val="24"/>
          <w:highlight w:val="none"/>
        </w:rPr>
      </w:pPr>
    </w:p>
    <w:p w14:paraId="18B82CA8">
      <w:pPr>
        <w:adjustRightInd w:val="0"/>
        <w:snapToGrid w:val="0"/>
        <w:spacing w:line="360" w:lineRule="auto"/>
        <w:jc w:val="center"/>
        <w:outlineLvl w:val="1"/>
        <w:rPr>
          <w:rFonts w:cs="仿宋_GB2312"/>
          <w:color w:val="auto"/>
          <w:sz w:val="24"/>
          <w:highlight w:val="none"/>
        </w:rPr>
      </w:pPr>
    </w:p>
    <w:p w14:paraId="6C95DF6D">
      <w:pPr>
        <w:adjustRightInd w:val="0"/>
        <w:snapToGrid w:val="0"/>
        <w:spacing w:line="360" w:lineRule="auto"/>
        <w:jc w:val="center"/>
        <w:outlineLvl w:val="1"/>
        <w:rPr>
          <w:rFonts w:cs="仿宋_GB2312"/>
          <w:color w:val="auto"/>
          <w:sz w:val="24"/>
          <w:highlight w:val="none"/>
        </w:rPr>
      </w:pPr>
    </w:p>
    <w:p w14:paraId="4CA953DB">
      <w:pPr>
        <w:adjustRightInd w:val="0"/>
        <w:snapToGrid w:val="0"/>
        <w:spacing w:line="360" w:lineRule="auto"/>
        <w:jc w:val="center"/>
        <w:outlineLvl w:val="1"/>
        <w:rPr>
          <w:rFonts w:cs="仿宋_GB2312"/>
          <w:color w:val="auto"/>
          <w:sz w:val="24"/>
          <w:highlight w:val="none"/>
        </w:rPr>
      </w:pPr>
    </w:p>
    <w:p w14:paraId="1702CAC2">
      <w:pPr>
        <w:adjustRightInd w:val="0"/>
        <w:snapToGrid w:val="0"/>
        <w:spacing w:line="360" w:lineRule="auto"/>
        <w:jc w:val="center"/>
        <w:outlineLvl w:val="1"/>
        <w:rPr>
          <w:rFonts w:cs="仿宋_GB2312"/>
          <w:color w:val="auto"/>
          <w:sz w:val="24"/>
          <w:highlight w:val="none"/>
        </w:rPr>
      </w:pPr>
    </w:p>
    <w:p w14:paraId="612931EB">
      <w:pPr>
        <w:adjustRightInd w:val="0"/>
        <w:snapToGrid w:val="0"/>
        <w:spacing w:line="360" w:lineRule="auto"/>
        <w:jc w:val="center"/>
        <w:outlineLvl w:val="1"/>
        <w:rPr>
          <w:rFonts w:cs="仿宋_GB2312"/>
          <w:color w:val="auto"/>
          <w:sz w:val="24"/>
          <w:highlight w:val="none"/>
        </w:rPr>
      </w:pPr>
    </w:p>
    <w:p w14:paraId="046CDC1E">
      <w:pPr>
        <w:adjustRightInd w:val="0"/>
        <w:snapToGrid w:val="0"/>
        <w:spacing w:line="360" w:lineRule="auto"/>
        <w:jc w:val="center"/>
        <w:outlineLvl w:val="1"/>
        <w:rPr>
          <w:rFonts w:cs="仿宋_GB2312"/>
          <w:color w:val="auto"/>
          <w:sz w:val="24"/>
          <w:highlight w:val="none"/>
        </w:rPr>
      </w:pPr>
    </w:p>
    <w:p w14:paraId="5F4512E9">
      <w:pPr>
        <w:adjustRightInd w:val="0"/>
        <w:snapToGrid w:val="0"/>
        <w:spacing w:line="360" w:lineRule="auto"/>
        <w:jc w:val="center"/>
        <w:outlineLvl w:val="1"/>
        <w:rPr>
          <w:rFonts w:cs="仿宋_GB2312"/>
          <w:b/>
          <w:bCs/>
          <w:color w:val="auto"/>
          <w:sz w:val="24"/>
          <w:highlight w:val="none"/>
        </w:rPr>
      </w:pPr>
      <w:bookmarkStart w:id="142" w:name="_Toc83886046"/>
    </w:p>
    <w:p w14:paraId="77F34E55">
      <w:pPr>
        <w:rPr>
          <w:rFonts w:cs="仿宋_GB2312"/>
          <w:b/>
          <w:bCs/>
          <w:color w:val="auto"/>
          <w:sz w:val="24"/>
          <w:highlight w:val="none"/>
        </w:rPr>
      </w:pPr>
      <w:r>
        <w:rPr>
          <w:rFonts w:hint="eastAsia" w:cs="仿宋_GB2312"/>
          <w:b/>
          <w:bCs/>
          <w:color w:val="auto"/>
          <w:sz w:val="24"/>
          <w:highlight w:val="none"/>
        </w:rPr>
        <w:br w:type="page"/>
      </w:r>
    </w:p>
    <w:bookmarkEnd w:id="142"/>
    <w:p w14:paraId="4C10FCFA">
      <w:pPr>
        <w:adjustRightInd w:val="0"/>
        <w:snapToGrid w:val="0"/>
        <w:spacing w:line="360" w:lineRule="auto"/>
        <w:jc w:val="center"/>
        <w:outlineLvl w:val="1"/>
        <w:rPr>
          <w:rFonts w:cs="仿宋_GB2312"/>
          <w:b/>
          <w:bCs/>
          <w:color w:val="auto"/>
          <w:sz w:val="24"/>
          <w:highlight w:val="none"/>
        </w:rPr>
      </w:pPr>
      <w:bookmarkStart w:id="143" w:name="_Toc4857"/>
      <w:bookmarkStart w:id="144" w:name="_Toc7344"/>
      <w:bookmarkStart w:id="145" w:name="_Toc20079"/>
      <w:r>
        <w:rPr>
          <w:rFonts w:hint="eastAsia" w:cs="仿宋_GB2312"/>
          <w:b/>
          <w:bCs/>
          <w:color w:val="auto"/>
          <w:sz w:val="24"/>
          <w:highlight w:val="none"/>
        </w:rPr>
        <w:t>第四部分、技术文件</w:t>
      </w:r>
      <w:bookmarkEnd w:id="143"/>
      <w:bookmarkEnd w:id="144"/>
    </w:p>
    <w:p w14:paraId="42C5E474">
      <w:pPr>
        <w:snapToGrid w:val="0"/>
        <w:spacing w:line="360" w:lineRule="auto"/>
        <w:jc w:val="center"/>
        <w:outlineLvl w:val="1"/>
        <w:rPr>
          <w:rFonts w:cs="仿宋_GB2312"/>
          <w:b/>
          <w:bCs/>
          <w:color w:val="auto"/>
          <w:sz w:val="24"/>
          <w:highlight w:val="none"/>
        </w:rPr>
      </w:pPr>
      <w:bookmarkStart w:id="146" w:name="_Toc30670"/>
      <w:bookmarkStart w:id="147" w:name="_Toc7962"/>
      <w:r>
        <w:rPr>
          <w:rFonts w:hint="eastAsia" w:cs="仿宋_GB2312"/>
          <w:b/>
          <w:bCs/>
          <w:color w:val="auto"/>
          <w:sz w:val="24"/>
          <w:highlight w:val="none"/>
        </w:rPr>
        <w:t>一、技术与服务解决方案</w:t>
      </w:r>
      <w:bookmarkEnd w:id="146"/>
      <w:bookmarkEnd w:id="147"/>
    </w:p>
    <w:p w14:paraId="3CDA039E">
      <w:pPr>
        <w:spacing w:line="360" w:lineRule="auto"/>
        <w:jc w:val="center"/>
        <w:rPr>
          <w:rFonts w:cs="仿宋_GB2312"/>
          <w:color w:val="auto"/>
          <w:sz w:val="24"/>
          <w:highlight w:val="none"/>
        </w:rPr>
      </w:pPr>
      <w:r>
        <w:rPr>
          <w:rFonts w:hint="eastAsia" w:cs="仿宋_GB2312"/>
          <w:color w:val="auto"/>
          <w:sz w:val="24"/>
          <w:highlight w:val="none"/>
        </w:rPr>
        <w:t>（由投标人根据招标需求及招标文件要求编制）</w:t>
      </w:r>
    </w:p>
    <w:p w14:paraId="12C99733">
      <w:pPr>
        <w:pStyle w:val="2"/>
        <w:rPr>
          <w:rFonts w:ascii="Times New Roman" w:hAnsi="Times New Roman" w:cs="仿宋_GB2312"/>
          <w:color w:val="auto"/>
          <w:sz w:val="24"/>
          <w:szCs w:val="24"/>
          <w:highlight w:val="none"/>
        </w:rPr>
      </w:pPr>
    </w:p>
    <w:p w14:paraId="5ABA27FD">
      <w:pPr>
        <w:rPr>
          <w:rFonts w:cs="仿宋_GB2312"/>
          <w:color w:val="auto"/>
          <w:sz w:val="24"/>
          <w:highlight w:val="none"/>
        </w:rPr>
      </w:pPr>
    </w:p>
    <w:p w14:paraId="329CF20C">
      <w:pPr>
        <w:pStyle w:val="2"/>
        <w:rPr>
          <w:rFonts w:ascii="Times New Roman" w:hAnsi="Times New Roman" w:cs="仿宋_GB2312"/>
          <w:color w:val="auto"/>
          <w:sz w:val="24"/>
          <w:szCs w:val="24"/>
          <w:highlight w:val="none"/>
        </w:rPr>
      </w:pPr>
    </w:p>
    <w:p w14:paraId="49FE87BB">
      <w:pPr>
        <w:spacing w:line="360" w:lineRule="auto"/>
        <w:jc w:val="center"/>
        <w:rPr>
          <w:rFonts w:cs="仿宋_GB2312"/>
          <w:b/>
          <w:bCs/>
          <w:color w:val="auto"/>
          <w:sz w:val="24"/>
          <w:highlight w:val="none"/>
          <w:lang w:val="zh-CN"/>
        </w:rPr>
      </w:pPr>
      <w:r>
        <w:rPr>
          <w:rFonts w:hint="eastAsia" w:cs="仿宋_GB2312"/>
          <w:b/>
          <w:color w:val="auto"/>
          <w:kern w:val="0"/>
          <w:sz w:val="24"/>
          <w:highlight w:val="none"/>
        </w:rPr>
        <w:t>二、</w:t>
      </w:r>
      <w:r>
        <w:rPr>
          <w:rFonts w:hint="eastAsia" w:cs="仿宋_GB2312"/>
          <w:b/>
          <w:bCs/>
          <w:color w:val="auto"/>
          <w:sz w:val="24"/>
          <w:highlight w:val="none"/>
        </w:rPr>
        <w:t>增值服务</w:t>
      </w:r>
      <w:r>
        <w:rPr>
          <w:rFonts w:hint="eastAsia" w:cs="仿宋_GB2312"/>
          <w:b/>
          <w:bCs/>
          <w:color w:val="auto"/>
          <w:sz w:val="24"/>
          <w:highlight w:val="none"/>
          <w:lang w:val="zh-CN"/>
        </w:rPr>
        <w:t>及特殊承诺</w:t>
      </w:r>
    </w:p>
    <w:p w14:paraId="44A9F4D0">
      <w:pPr>
        <w:spacing w:line="360" w:lineRule="auto"/>
        <w:jc w:val="center"/>
        <w:rPr>
          <w:rFonts w:cs="仿宋_GB2312"/>
          <w:color w:val="auto"/>
          <w:sz w:val="24"/>
          <w:highlight w:val="none"/>
        </w:rPr>
      </w:pPr>
      <w:r>
        <w:rPr>
          <w:rFonts w:hint="eastAsia" w:cs="仿宋_GB2312"/>
          <w:color w:val="auto"/>
          <w:sz w:val="24"/>
          <w:highlight w:val="none"/>
        </w:rPr>
        <w:t>（由投标人根据招标需求自行编制）</w:t>
      </w:r>
    </w:p>
    <w:p w14:paraId="4721AE46">
      <w:pPr>
        <w:spacing w:line="360" w:lineRule="auto"/>
        <w:jc w:val="center"/>
        <w:rPr>
          <w:rFonts w:cs="仿宋_GB2312"/>
          <w:color w:val="auto"/>
          <w:sz w:val="24"/>
          <w:highlight w:val="none"/>
        </w:rPr>
      </w:pPr>
    </w:p>
    <w:p w14:paraId="72277DAE">
      <w:pPr>
        <w:pStyle w:val="12"/>
        <w:snapToGrid w:val="0"/>
        <w:spacing w:line="360" w:lineRule="auto"/>
        <w:rPr>
          <w:rFonts w:ascii="Times New Roman" w:hAnsi="Times New Roman" w:eastAsia="仿宋_GB2312" w:cs="仿宋_GB2312"/>
          <w:snapToGrid w:val="0"/>
          <w:color w:val="auto"/>
          <w:sz w:val="24"/>
          <w:szCs w:val="24"/>
          <w:highlight w:val="none"/>
        </w:rPr>
      </w:pPr>
    </w:p>
    <w:p w14:paraId="700D7CA3">
      <w:pPr>
        <w:pStyle w:val="12"/>
        <w:snapToGrid w:val="0"/>
        <w:spacing w:line="360" w:lineRule="auto"/>
        <w:rPr>
          <w:rFonts w:ascii="Times New Roman" w:hAnsi="Times New Roman" w:eastAsia="仿宋_GB2312" w:cs="仿宋_GB2312"/>
          <w:snapToGrid w:val="0"/>
          <w:color w:val="auto"/>
          <w:sz w:val="24"/>
          <w:szCs w:val="24"/>
          <w:highlight w:val="none"/>
        </w:rPr>
      </w:pPr>
    </w:p>
    <w:p w14:paraId="50735FF1">
      <w:pPr>
        <w:pStyle w:val="12"/>
        <w:snapToGrid w:val="0"/>
        <w:spacing w:line="360" w:lineRule="auto"/>
        <w:rPr>
          <w:rFonts w:ascii="Times New Roman" w:hAnsi="Times New Roman" w:eastAsia="仿宋_GB2312" w:cs="仿宋_GB2312"/>
          <w:snapToGrid w:val="0"/>
          <w:color w:val="auto"/>
          <w:sz w:val="24"/>
          <w:szCs w:val="24"/>
          <w:highlight w:val="none"/>
        </w:rPr>
      </w:pPr>
    </w:p>
    <w:p w14:paraId="75347B96">
      <w:pPr>
        <w:pStyle w:val="12"/>
        <w:snapToGrid w:val="0"/>
        <w:spacing w:line="360" w:lineRule="auto"/>
        <w:rPr>
          <w:rFonts w:ascii="Times New Roman" w:hAnsi="Times New Roman" w:eastAsia="仿宋_GB2312" w:cs="仿宋_GB2312"/>
          <w:snapToGrid w:val="0"/>
          <w:color w:val="auto"/>
          <w:sz w:val="24"/>
          <w:szCs w:val="24"/>
          <w:highlight w:val="none"/>
        </w:rPr>
      </w:pPr>
    </w:p>
    <w:p w14:paraId="79761DED">
      <w:pPr>
        <w:pStyle w:val="12"/>
        <w:snapToGrid w:val="0"/>
        <w:spacing w:line="360" w:lineRule="auto"/>
        <w:rPr>
          <w:rFonts w:ascii="Times New Roman" w:hAnsi="Times New Roman" w:eastAsia="仿宋_GB2312" w:cs="仿宋_GB2312"/>
          <w:snapToGrid w:val="0"/>
          <w:color w:val="auto"/>
          <w:sz w:val="24"/>
          <w:szCs w:val="24"/>
          <w:highlight w:val="none"/>
        </w:rPr>
      </w:pPr>
    </w:p>
    <w:p w14:paraId="436717CA">
      <w:pPr>
        <w:pStyle w:val="12"/>
        <w:snapToGrid w:val="0"/>
        <w:spacing w:line="360" w:lineRule="auto"/>
        <w:rPr>
          <w:rFonts w:ascii="Times New Roman" w:hAnsi="Times New Roman" w:eastAsia="仿宋_GB2312" w:cs="仿宋_GB2312"/>
          <w:snapToGrid w:val="0"/>
          <w:color w:val="auto"/>
          <w:sz w:val="24"/>
          <w:szCs w:val="24"/>
          <w:highlight w:val="none"/>
        </w:rPr>
      </w:pPr>
    </w:p>
    <w:p w14:paraId="6508829D">
      <w:pPr>
        <w:pStyle w:val="50"/>
        <w:adjustRightInd w:val="0"/>
        <w:snapToGrid w:val="0"/>
        <w:spacing w:line="360" w:lineRule="auto"/>
        <w:rPr>
          <w:rFonts w:ascii="Times New Roman" w:hAnsi="Times New Roman" w:eastAsia="仿宋_GB2312" w:cs="仿宋_GB2312"/>
          <w:color w:val="auto"/>
          <w:sz w:val="24"/>
          <w:szCs w:val="24"/>
          <w:highlight w:val="none"/>
        </w:rPr>
      </w:pPr>
    </w:p>
    <w:p w14:paraId="12879FE6">
      <w:pPr>
        <w:rPr>
          <w:rFonts w:cs="仿宋_GB2312"/>
          <w:color w:val="auto"/>
          <w:sz w:val="24"/>
          <w:highlight w:val="none"/>
        </w:rPr>
      </w:pPr>
    </w:p>
    <w:p w14:paraId="780DEC61">
      <w:pPr>
        <w:pStyle w:val="2"/>
        <w:rPr>
          <w:rFonts w:ascii="Times New Roman" w:hAnsi="Times New Roman" w:cs="仿宋_GB2312"/>
          <w:color w:val="auto"/>
          <w:sz w:val="24"/>
          <w:szCs w:val="24"/>
          <w:highlight w:val="none"/>
        </w:rPr>
      </w:pPr>
    </w:p>
    <w:p w14:paraId="49323D6C">
      <w:pPr>
        <w:rPr>
          <w:rFonts w:cs="仿宋_GB2312"/>
          <w:color w:val="auto"/>
          <w:sz w:val="24"/>
          <w:highlight w:val="none"/>
        </w:rPr>
      </w:pPr>
    </w:p>
    <w:p w14:paraId="276B3F90">
      <w:pPr>
        <w:pStyle w:val="2"/>
        <w:rPr>
          <w:rFonts w:ascii="Times New Roman" w:hAnsi="Times New Roman" w:cs="仿宋_GB2312"/>
          <w:color w:val="auto"/>
          <w:sz w:val="24"/>
          <w:szCs w:val="24"/>
          <w:highlight w:val="none"/>
        </w:rPr>
      </w:pPr>
    </w:p>
    <w:p w14:paraId="58723D4B">
      <w:pPr>
        <w:rPr>
          <w:rFonts w:cs="仿宋_GB2312"/>
          <w:color w:val="auto"/>
          <w:sz w:val="24"/>
          <w:highlight w:val="none"/>
        </w:rPr>
      </w:pPr>
    </w:p>
    <w:p w14:paraId="31A6591D">
      <w:pPr>
        <w:pStyle w:val="2"/>
        <w:rPr>
          <w:rFonts w:ascii="Times New Roman" w:hAnsi="Times New Roman" w:cs="仿宋_GB2312"/>
          <w:color w:val="auto"/>
          <w:sz w:val="24"/>
          <w:szCs w:val="24"/>
          <w:highlight w:val="none"/>
        </w:rPr>
      </w:pPr>
    </w:p>
    <w:p w14:paraId="55B57278">
      <w:pPr>
        <w:rPr>
          <w:rFonts w:cs="仿宋_GB2312"/>
          <w:color w:val="auto"/>
          <w:sz w:val="24"/>
          <w:highlight w:val="none"/>
        </w:rPr>
      </w:pPr>
    </w:p>
    <w:p w14:paraId="2CF543A1">
      <w:pPr>
        <w:pStyle w:val="2"/>
        <w:rPr>
          <w:rFonts w:ascii="Times New Roman" w:hAnsi="Times New Roman" w:cs="仿宋_GB2312"/>
          <w:color w:val="auto"/>
          <w:sz w:val="24"/>
          <w:szCs w:val="24"/>
          <w:highlight w:val="none"/>
        </w:rPr>
      </w:pPr>
    </w:p>
    <w:p w14:paraId="58304FC1">
      <w:pPr>
        <w:rPr>
          <w:rFonts w:cs="仿宋_GB2312"/>
          <w:color w:val="auto"/>
          <w:sz w:val="24"/>
          <w:highlight w:val="none"/>
        </w:rPr>
      </w:pPr>
    </w:p>
    <w:p w14:paraId="507077E7">
      <w:pPr>
        <w:pStyle w:val="2"/>
        <w:rPr>
          <w:rFonts w:ascii="Times New Roman" w:hAnsi="Times New Roman" w:cs="仿宋_GB2312"/>
          <w:color w:val="auto"/>
          <w:sz w:val="24"/>
          <w:szCs w:val="24"/>
          <w:highlight w:val="none"/>
        </w:rPr>
      </w:pPr>
    </w:p>
    <w:p w14:paraId="05B4BC20">
      <w:pPr>
        <w:rPr>
          <w:rFonts w:cs="仿宋_GB2312"/>
          <w:color w:val="auto"/>
          <w:sz w:val="24"/>
          <w:highlight w:val="none"/>
        </w:rPr>
      </w:pPr>
    </w:p>
    <w:p w14:paraId="01A1DDFD">
      <w:pPr>
        <w:pStyle w:val="2"/>
        <w:rPr>
          <w:rFonts w:ascii="Times New Roman" w:hAnsi="Times New Roman" w:cs="仿宋_GB2312"/>
          <w:color w:val="auto"/>
          <w:sz w:val="24"/>
          <w:szCs w:val="24"/>
          <w:highlight w:val="none"/>
        </w:rPr>
      </w:pPr>
    </w:p>
    <w:p w14:paraId="39CDD587">
      <w:pPr>
        <w:rPr>
          <w:rFonts w:cs="仿宋_GB2312"/>
          <w:color w:val="auto"/>
          <w:sz w:val="24"/>
          <w:highlight w:val="none"/>
        </w:rPr>
      </w:pPr>
    </w:p>
    <w:p w14:paraId="288572BD">
      <w:pPr>
        <w:pStyle w:val="2"/>
        <w:rPr>
          <w:rFonts w:ascii="Times New Roman" w:hAnsi="Times New Roman" w:cs="仿宋_GB2312"/>
          <w:color w:val="auto"/>
          <w:sz w:val="24"/>
          <w:szCs w:val="24"/>
          <w:highlight w:val="none"/>
        </w:rPr>
      </w:pPr>
    </w:p>
    <w:p w14:paraId="228F81AC">
      <w:pPr>
        <w:rPr>
          <w:rFonts w:cs="仿宋_GB2312"/>
          <w:color w:val="auto"/>
          <w:sz w:val="24"/>
          <w:highlight w:val="none"/>
        </w:rPr>
      </w:pPr>
    </w:p>
    <w:p w14:paraId="766E621F">
      <w:pPr>
        <w:pStyle w:val="2"/>
        <w:rPr>
          <w:rFonts w:ascii="Times New Roman" w:hAnsi="Times New Roman" w:cs="仿宋_GB2312"/>
          <w:color w:val="auto"/>
          <w:sz w:val="24"/>
          <w:szCs w:val="24"/>
          <w:highlight w:val="none"/>
        </w:rPr>
      </w:pPr>
    </w:p>
    <w:p w14:paraId="42C6F486">
      <w:pPr>
        <w:jc w:val="center"/>
        <w:rPr>
          <w:rFonts w:cs="仿宋_GB2312"/>
          <w:bCs/>
          <w:color w:val="auto"/>
          <w:sz w:val="24"/>
          <w:highlight w:val="none"/>
        </w:rPr>
      </w:pPr>
      <w:r>
        <w:rPr>
          <w:rFonts w:hint="eastAsia" w:cs="仿宋_GB2312"/>
          <w:b/>
          <w:bCs/>
          <w:color w:val="auto"/>
          <w:sz w:val="24"/>
          <w:highlight w:val="none"/>
        </w:rPr>
        <w:t>三、</w:t>
      </w:r>
      <w:r>
        <w:rPr>
          <w:rFonts w:hint="eastAsia" w:cs="仿宋_GB2312"/>
          <w:b/>
          <w:color w:val="auto"/>
          <w:kern w:val="0"/>
          <w:sz w:val="24"/>
          <w:highlight w:val="none"/>
        </w:rPr>
        <w:t>技术偏离表</w:t>
      </w:r>
      <w:bookmarkEnd w:id="145"/>
    </w:p>
    <w:p w14:paraId="659F8BEC">
      <w:pPr>
        <w:adjustRightInd w:val="0"/>
        <w:snapToGrid w:val="0"/>
        <w:spacing w:line="360" w:lineRule="auto"/>
        <w:ind w:firstLine="480" w:firstLineChars="200"/>
        <w:rPr>
          <w:rFonts w:cs="仿宋_GB2312"/>
          <w:color w:val="auto"/>
          <w:sz w:val="24"/>
          <w:highlight w:val="none"/>
        </w:rPr>
      </w:pPr>
      <w:r>
        <w:rPr>
          <w:rFonts w:hint="eastAsia" w:cs="仿宋_GB2312"/>
          <w:color w:val="auto"/>
          <w:sz w:val="24"/>
          <w:highlight w:val="none"/>
        </w:rPr>
        <w:t>投标人应根据其投标文件响应情况，对照招标文件的要求，有差异的，则在表中写明实际响应的具体内容。</w:t>
      </w:r>
    </w:p>
    <w:p w14:paraId="34C7D55F">
      <w:pPr>
        <w:pStyle w:val="17"/>
        <w:rPr>
          <w:color w:val="auto"/>
          <w:highlight w:val="none"/>
        </w:rPr>
      </w:pPr>
    </w:p>
    <w:tbl>
      <w:tblPr>
        <w:tblStyle w:val="26"/>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305A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715161EB">
            <w:pPr>
              <w:adjustRightInd w:val="0"/>
              <w:snapToGrid w:val="0"/>
              <w:jc w:val="center"/>
              <w:rPr>
                <w:rFonts w:cs="仿宋_GB2312"/>
                <w:color w:val="auto"/>
                <w:sz w:val="24"/>
                <w:highlight w:val="none"/>
              </w:rPr>
            </w:pPr>
            <w:r>
              <w:rPr>
                <w:rFonts w:hint="eastAsia" w:cs="仿宋_GB2312"/>
                <w:color w:val="auto"/>
                <w:sz w:val="24"/>
                <w:highlight w:val="none"/>
              </w:rPr>
              <w:t>序号</w:t>
            </w:r>
          </w:p>
        </w:tc>
        <w:tc>
          <w:tcPr>
            <w:tcW w:w="2922" w:type="dxa"/>
            <w:gridSpan w:val="2"/>
            <w:vAlign w:val="center"/>
          </w:tcPr>
          <w:p w14:paraId="5A266E5A">
            <w:pPr>
              <w:adjustRightInd w:val="0"/>
              <w:snapToGrid w:val="0"/>
              <w:jc w:val="center"/>
              <w:rPr>
                <w:rFonts w:cs="仿宋_GB2312"/>
                <w:color w:val="auto"/>
                <w:sz w:val="24"/>
                <w:highlight w:val="none"/>
              </w:rPr>
            </w:pPr>
            <w:r>
              <w:rPr>
                <w:rFonts w:hint="eastAsia" w:cs="仿宋_GB2312"/>
                <w:color w:val="auto"/>
                <w:sz w:val="24"/>
                <w:highlight w:val="none"/>
              </w:rPr>
              <w:t>招标文件要求</w:t>
            </w:r>
          </w:p>
        </w:tc>
        <w:tc>
          <w:tcPr>
            <w:tcW w:w="3240" w:type="dxa"/>
            <w:gridSpan w:val="2"/>
            <w:vAlign w:val="center"/>
          </w:tcPr>
          <w:p w14:paraId="0F6467D0">
            <w:pPr>
              <w:adjustRightInd w:val="0"/>
              <w:snapToGrid w:val="0"/>
              <w:jc w:val="center"/>
              <w:rPr>
                <w:rFonts w:cs="仿宋_GB2312"/>
                <w:color w:val="auto"/>
                <w:sz w:val="24"/>
                <w:highlight w:val="none"/>
              </w:rPr>
            </w:pPr>
            <w:r>
              <w:rPr>
                <w:rFonts w:hint="eastAsia" w:cs="仿宋_GB2312"/>
                <w:color w:val="auto"/>
                <w:sz w:val="24"/>
                <w:highlight w:val="none"/>
              </w:rPr>
              <w:t>投标文件内容</w:t>
            </w:r>
          </w:p>
        </w:tc>
        <w:tc>
          <w:tcPr>
            <w:tcW w:w="1110" w:type="dxa"/>
            <w:vMerge w:val="restart"/>
            <w:vAlign w:val="center"/>
          </w:tcPr>
          <w:p w14:paraId="19EF465F">
            <w:pPr>
              <w:adjustRightInd w:val="0"/>
              <w:snapToGrid w:val="0"/>
              <w:jc w:val="center"/>
              <w:rPr>
                <w:rFonts w:cs="仿宋_GB2312"/>
                <w:color w:val="auto"/>
                <w:sz w:val="24"/>
                <w:highlight w:val="none"/>
              </w:rPr>
            </w:pPr>
            <w:r>
              <w:rPr>
                <w:rFonts w:hint="eastAsia" w:cs="仿宋_GB2312"/>
                <w:color w:val="auto"/>
                <w:sz w:val="24"/>
                <w:highlight w:val="none"/>
              </w:rPr>
              <w:t>是否响应</w:t>
            </w:r>
          </w:p>
        </w:tc>
        <w:tc>
          <w:tcPr>
            <w:tcW w:w="1081" w:type="dxa"/>
            <w:vMerge w:val="restart"/>
            <w:vAlign w:val="center"/>
          </w:tcPr>
          <w:p w14:paraId="0B6B59A5">
            <w:pPr>
              <w:adjustRightInd w:val="0"/>
              <w:snapToGrid w:val="0"/>
              <w:jc w:val="center"/>
              <w:rPr>
                <w:rFonts w:cs="仿宋_GB2312"/>
                <w:color w:val="auto"/>
                <w:sz w:val="24"/>
                <w:highlight w:val="none"/>
              </w:rPr>
            </w:pPr>
            <w:r>
              <w:rPr>
                <w:rFonts w:hint="eastAsia" w:cs="仿宋_GB2312"/>
                <w:color w:val="auto"/>
                <w:sz w:val="24"/>
                <w:highlight w:val="none"/>
              </w:rPr>
              <w:t>偏离说明</w:t>
            </w:r>
          </w:p>
        </w:tc>
      </w:tr>
      <w:tr w14:paraId="3FE5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265423DD">
            <w:pPr>
              <w:adjustRightInd w:val="0"/>
              <w:snapToGrid w:val="0"/>
              <w:jc w:val="center"/>
              <w:rPr>
                <w:rFonts w:cs="仿宋_GB2312"/>
                <w:color w:val="auto"/>
                <w:sz w:val="24"/>
                <w:highlight w:val="none"/>
              </w:rPr>
            </w:pPr>
          </w:p>
        </w:tc>
        <w:tc>
          <w:tcPr>
            <w:tcW w:w="872" w:type="dxa"/>
            <w:vAlign w:val="center"/>
          </w:tcPr>
          <w:p w14:paraId="04F08DC9">
            <w:pPr>
              <w:adjustRightInd w:val="0"/>
              <w:snapToGrid w:val="0"/>
              <w:jc w:val="center"/>
              <w:rPr>
                <w:rFonts w:cs="仿宋_GB2312"/>
                <w:color w:val="auto"/>
                <w:sz w:val="24"/>
                <w:highlight w:val="none"/>
              </w:rPr>
            </w:pPr>
            <w:r>
              <w:rPr>
                <w:rFonts w:hint="eastAsia" w:cs="仿宋_GB2312"/>
                <w:color w:val="auto"/>
                <w:sz w:val="24"/>
                <w:highlight w:val="none"/>
              </w:rPr>
              <w:t>条目</w:t>
            </w:r>
          </w:p>
        </w:tc>
        <w:tc>
          <w:tcPr>
            <w:tcW w:w="2050" w:type="dxa"/>
            <w:vAlign w:val="center"/>
          </w:tcPr>
          <w:p w14:paraId="1B7C09D9">
            <w:pPr>
              <w:adjustRightInd w:val="0"/>
              <w:snapToGrid w:val="0"/>
              <w:jc w:val="center"/>
              <w:rPr>
                <w:rFonts w:cs="仿宋_GB2312"/>
                <w:color w:val="auto"/>
                <w:sz w:val="24"/>
                <w:highlight w:val="none"/>
              </w:rPr>
            </w:pPr>
            <w:r>
              <w:rPr>
                <w:rFonts w:hint="eastAsia" w:cs="仿宋_GB2312"/>
                <w:color w:val="auto"/>
                <w:sz w:val="24"/>
                <w:highlight w:val="none"/>
              </w:rPr>
              <w:t>简要内容</w:t>
            </w:r>
          </w:p>
        </w:tc>
        <w:tc>
          <w:tcPr>
            <w:tcW w:w="1050" w:type="dxa"/>
            <w:vAlign w:val="center"/>
          </w:tcPr>
          <w:p w14:paraId="00929BA8">
            <w:pPr>
              <w:adjustRightInd w:val="0"/>
              <w:snapToGrid w:val="0"/>
              <w:jc w:val="center"/>
              <w:rPr>
                <w:rFonts w:cs="仿宋_GB2312"/>
                <w:color w:val="auto"/>
                <w:sz w:val="24"/>
                <w:highlight w:val="none"/>
              </w:rPr>
            </w:pPr>
            <w:r>
              <w:rPr>
                <w:rFonts w:hint="eastAsia" w:cs="仿宋_GB2312"/>
                <w:color w:val="auto"/>
                <w:sz w:val="24"/>
                <w:highlight w:val="none"/>
              </w:rPr>
              <w:t>条目</w:t>
            </w:r>
          </w:p>
        </w:tc>
        <w:tc>
          <w:tcPr>
            <w:tcW w:w="2190" w:type="dxa"/>
            <w:vAlign w:val="center"/>
          </w:tcPr>
          <w:p w14:paraId="136A3CFF">
            <w:pPr>
              <w:adjustRightInd w:val="0"/>
              <w:snapToGrid w:val="0"/>
              <w:jc w:val="center"/>
              <w:rPr>
                <w:rFonts w:cs="仿宋_GB2312"/>
                <w:color w:val="auto"/>
                <w:sz w:val="24"/>
                <w:highlight w:val="none"/>
              </w:rPr>
            </w:pPr>
            <w:r>
              <w:rPr>
                <w:rFonts w:hint="eastAsia" w:cs="仿宋_GB2312"/>
                <w:color w:val="auto"/>
                <w:sz w:val="24"/>
                <w:highlight w:val="none"/>
              </w:rPr>
              <w:t>实际响应的具体内容</w:t>
            </w:r>
          </w:p>
        </w:tc>
        <w:tc>
          <w:tcPr>
            <w:tcW w:w="1110" w:type="dxa"/>
            <w:vMerge w:val="continue"/>
            <w:vAlign w:val="center"/>
          </w:tcPr>
          <w:p w14:paraId="6DB2C89E">
            <w:pPr>
              <w:adjustRightInd w:val="0"/>
              <w:snapToGrid w:val="0"/>
              <w:jc w:val="center"/>
              <w:rPr>
                <w:rFonts w:cs="仿宋_GB2312"/>
                <w:color w:val="auto"/>
                <w:sz w:val="24"/>
                <w:highlight w:val="none"/>
              </w:rPr>
            </w:pPr>
          </w:p>
        </w:tc>
        <w:tc>
          <w:tcPr>
            <w:tcW w:w="1081" w:type="dxa"/>
            <w:vMerge w:val="continue"/>
            <w:vAlign w:val="center"/>
          </w:tcPr>
          <w:p w14:paraId="7EC753C3">
            <w:pPr>
              <w:adjustRightInd w:val="0"/>
              <w:snapToGrid w:val="0"/>
              <w:jc w:val="center"/>
              <w:rPr>
                <w:rFonts w:cs="仿宋_GB2312"/>
                <w:color w:val="auto"/>
                <w:sz w:val="24"/>
                <w:highlight w:val="none"/>
              </w:rPr>
            </w:pPr>
          </w:p>
        </w:tc>
      </w:tr>
      <w:tr w14:paraId="5C76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CB6A259">
            <w:pPr>
              <w:adjustRightInd w:val="0"/>
              <w:snapToGrid w:val="0"/>
              <w:jc w:val="center"/>
              <w:rPr>
                <w:rFonts w:cs="仿宋_GB2312"/>
                <w:color w:val="auto"/>
                <w:sz w:val="24"/>
                <w:highlight w:val="none"/>
              </w:rPr>
            </w:pPr>
          </w:p>
        </w:tc>
        <w:tc>
          <w:tcPr>
            <w:tcW w:w="872" w:type="dxa"/>
            <w:vAlign w:val="center"/>
          </w:tcPr>
          <w:p w14:paraId="657F0958">
            <w:pPr>
              <w:adjustRightInd w:val="0"/>
              <w:snapToGrid w:val="0"/>
              <w:jc w:val="center"/>
              <w:rPr>
                <w:rFonts w:cs="仿宋_GB2312"/>
                <w:color w:val="auto"/>
                <w:sz w:val="24"/>
                <w:highlight w:val="none"/>
              </w:rPr>
            </w:pPr>
          </w:p>
        </w:tc>
        <w:tc>
          <w:tcPr>
            <w:tcW w:w="2050" w:type="dxa"/>
            <w:vAlign w:val="center"/>
          </w:tcPr>
          <w:p w14:paraId="55966D14">
            <w:pPr>
              <w:adjustRightInd w:val="0"/>
              <w:snapToGrid w:val="0"/>
              <w:jc w:val="center"/>
              <w:rPr>
                <w:rFonts w:cs="仿宋_GB2312"/>
                <w:color w:val="auto"/>
                <w:sz w:val="24"/>
                <w:highlight w:val="none"/>
              </w:rPr>
            </w:pPr>
          </w:p>
        </w:tc>
        <w:tc>
          <w:tcPr>
            <w:tcW w:w="1050" w:type="dxa"/>
            <w:vAlign w:val="center"/>
          </w:tcPr>
          <w:p w14:paraId="06E378A1">
            <w:pPr>
              <w:adjustRightInd w:val="0"/>
              <w:snapToGrid w:val="0"/>
              <w:jc w:val="center"/>
              <w:rPr>
                <w:rFonts w:cs="仿宋_GB2312"/>
                <w:color w:val="auto"/>
                <w:sz w:val="24"/>
                <w:highlight w:val="none"/>
              </w:rPr>
            </w:pPr>
          </w:p>
        </w:tc>
        <w:tc>
          <w:tcPr>
            <w:tcW w:w="2190" w:type="dxa"/>
            <w:vAlign w:val="center"/>
          </w:tcPr>
          <w:p w14:paraId="5F975C3A">
            <w:pPr>
              <w:adjustRightInd w:val="0"/>
              <w:snapToGrid w:val="0"/>
              <w:jc w:val="center"/>
              <w:rPr>
                <w:rFonts w:cs="仿宋_GB2312"/>
                <w:color w:val="auto"/>
                <w:sz w:val="24"/>
                <w:highlight w:val="none"/>
              </w:rPr>
            </w:pPr>
          </w:p>
        </w:tc>
        <w:tc>
          <w:tcPr>
            <w:tcW w:w="1110" w:type="dxa"/>
            <w:vAlign w:val="center"/>
          </w:tcPr>
          <w:p w14:paraId="4CBA0F8F">
            <w:pPr>
              <w:adjustRightInd w:val="0"/>
              <w:snapToGrid w:val="0"/>
              <w:jc w:val="center"/>
              <w:rPr>
                <w:rFonts w:cs="仿宋_GB2312"/>
                <w:color w:val="auto"/>
                <w:sz w:val="24"/>
                <w:highlight w:val="none"/>
              </w:rPr>
            </w:pPr>
          </w:p>
        </w:tc>
        <w:tc>
          <w:tcPr>
            <w:tcW w:w="1081" w:type="dxa"/>
            <w:vAlign w:val="center"/>
          </w:tcPr>
          <w:p w14:paraId="18F3CFC5">
            <w:pPr>
              <w:adjustRightInd w:val="0"/>
              <w:snapToGrid w:val="0"/>
              <w:jc w:val="center"/>
              <w:rPr>
                <w:rFonts w:cs="仿宋_GB2312"/>
                <w:color w:val="auto"/>
                <w:sz w:val="24"/>
                <w:highlight w:val="none"/>
              </w:rPr>
            </w:pPr>
          </w:p>
        </w:tc>
      </w:tr>
      <w:tr w14:paraId="6B36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9D328DC">
            <w:pPr>
              <w:adjustRightInd w:val="0"/>
              <w:snapToGrid w:val="0"/>
              <w:jc w:val="center"/>
              <w:rPr>
                <w:rFonts w:cs="仿宋_GB2312"/>
                <w:color w:val="auto"/>
                <w:sz w:val="24"/>
                <w:highlight w:val="none"/>
              </w:rPr>
            </w:pPr>
          </w:p>
        </w:tc>
        <w:tc>
          <w:tcPr>
            <w:tcW w:w="872" w:type="dxa"/>
            <w:vAlign w:val="center"/>
          </w:tcPr>
          <w:p w14:paraId="44D36A52">
            <w:pPr>
              <w:adjustRightInd w:val="0"/>
              <w:snapToGrid w:val="0"/>
              <w:jc w:val="center"/>
              <w:rPr>
                <w:rFonts w:cs="仿宋_GB2312"/>
                <w:color w:val="auto"/>
                <w:sz w:val="24"/>
                <w:highlight w:val="none"/>
              </w:rPr>
            </w:pPr>
          </w:p>
        </w:tc>
        <w:tc>
          <w:tcPr>
            <w:tcW w:w="2050" w:type="dxa"/>
            <w:vAlign w:val="center"/>
          </w:tcPr>
          <w:p w14:paraId="7DA2A2ED">
            <w:pPr>
              <w:adjustRightInd w:val="0"/>
              <w:snapToGrid w:val="0"/>
              <w:jc w:val="center"/>
              <w:rPr>
                <w:rFonts w:cs="仿宋_GB2312"/>
                <w:color w:val="auto"/>
                <w:sz w:val="24"/>
                <w:highlight w:val="none"/>
              </w:rPr>
            </w:pPr>
          </w:p>
        </w:tc>
        <w:tc>
          <w:tcPr>
            <w:tcW w:w="1050" w:type="dxa"/>
            <w:vAlign w:val="center"/>
          </w:tcPr>
          <w:p w14:paraId="635167D0">
            <w:pPr>
              <w:adjustRightInd w:val="0"/>
              <w:snapToGrid w:val="0"/>
              <w:jc w:val="center"/>
              <w:rPr>
                <w:rFonts w:cs="仿宋_GB2312"/>
                <w:color w:val="auto"/>
                <w:sz w:val="24"/>
                <w:highlight w:val="none"/>
              </w:rPr>
            </w:pPr>
          </w:p>
        </w:tc>
        <w:tc>
          <w:tcPr>
            <w:tcW w:w="2190" w:type="dxa"/>
            <w:vAlign w:val="center"/>
          </w:tcPr>
          <w:p w14:paraId="4508915F">
            <w:pPr>
              <w:adjustRightInd w:val="0"/>
              <w:snapToGrid w:val="0"/>
              <w:jc w:val="center"/>
              <w:rPr>
                <w:rFonts w:cs="仿宋_GB2312"/>
                <w:color w:val="auto"/>
                <w:sz w:val="24"/>
                <w:highlight w:val="none"/>
              </w:rPr>
            </w:pPr>
          </w:p>
        </w:tc>
        <w:tc>
          <w:tcPr>
            <w:tcW w:w="1110" w:type="dxa"/>
            <w:vAlign w:val="center"/>
          </w:tcPr>
          <w:p w14:paraId="74BDB82F">
            <w:pPr>
              <w:adjustRightInd w:val="0"/>
              <w:snapToGrid w:val="0"/>
              <w:jc w:val="center"/>
              <w:rPr>
                <w:rFonts w:cs="仿宋_GB2312"/>
                <w:color w:val="auto"/>
                <w:sz w:val="24"/>
                <w:highlight w:val="none"/>
              </w:rPr>
            </w:pPr>
          </w:p>
        </w:tc>
        <w:tc>
          <w:tcPr>
            <w:tcW w:w="1081" w:type="dxa"/>
            <w:vAlign w:val="center"/>
          </w:tcPr>
          <w:p w14:paraId="2D4FD8A3">
            <w:pPr>
              <w:adjustRightInd w:val="0"/>
              <w:snapToGrid w:val="0"/>
              <w:jc w:val="center"/>
              <w:rPr>
                <w:rFonts w:cs="仿宋_GB2312"/>
                <w:color w:val="auto"/>
                <w:sz w:val="24"/>
                <w:highlight w:val="none"/>
              </w:rPr>
            </w:pPr>
          </w:p>
        </w:tc>
      </w:tr>
      <w:tr w14:paraId="79D0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E468E05">
            <w:pPr>
              <w:adjustRightInd w:val="0"/>
              <w:snapToGrid w:val="0"/>
              <w:jc w:val="center"/>
              <w:rPr>
                <w:rFonts w:cs="仿宋_GB2312"/>
                <w:color w:val="auto"/>
                <w:sz w:val="24"/>
                <w:highlight w:val="none"/>
              </w:rPr>
            </w:pPr>
          </w:p>
        </w:tc>
        <w:tc>
          <w:tcPr>
            <w:tcW w:w="872" w:type="dxa"/>
            <w:vAlign w:val="center"/>
          </w:tcPr>
          <w:p w14:paraId="63C31115">
            <w:pPr>
              <w:adjustRightInd w:val="0"/>
              <w:snapToGrid w:val="0"/>
              <w:jc w:val="center"/>
              <w:rPr>
                <w:rFonts w:cs="仿宋_GB2312"/>
                <w:color w:val="auto"/>
                <w:sz w:val="24"/>
                <w:highlight w:val="none"/>
              </w:rPr>
            </w:pPr>
          </w:p>
        </w:tc>
        <w:tc>
          <w:tcPr>
            <w:tcW w:w="2050" w:type="dxa"/>
            <w:vAlign w:val="center"/>
          </w:tcPr>
          <w:p w14:paraId="4D734678">
            <w:pPr>
              <w:adjustRightInd w:val="0"/>
              <w:snapToGrid w:val="0"/>
              <w:jc w:val="center"/>
              <w:rPr>
                <w:rFonts w:cs="仿宋_GB2312"/>
                <w:color w:val="auto"/>
                <w:sz w:val="24"/>
                <w:highlight w:val="none"/>
              </w:rPr>
            </w:pPr>
          </w:p>
        </w:tc>
        <w:tc>
          <w:tcPr>
            <w:tcW w:w="1050" w:type="dxa"/>
            <w:vAlign w:val="center"/>
          </w:tcPr>
          <w:p w14:paraId="5A633C63">
            <w:pPr>
              <w:adjustRightInd w:val="0"/>
              <w:snapToGrid w:val="0"/>
              <w:jc w:val="center"/>
              <w:rPr>
                <w:rFonts w:cs="仿宋_GB2312"/>
                <w:color w:val="auto"/>
                <w:sz w:val="24"/>
                <w:highlight w:val="none"/>
              </w:rPr>
            </w:pPr>
          </w:p>
        </w:tc>
        <w:tc>
          <w:tcPr>
            <w:tcW w:w="2190" w:type="dxa"/>
            <w:vAlign w:val="center"/>
          </w:tcPr>
          <w:p w14:paraId="2C109727">
            <w:pPr>
              <w:adjustRightInd w:val="0"/>
              <w:snapToGrid w:val="0"/>
              <w:jc w:val="center"/>
              <w:rPr>
                <w:rFonts w:cs="仿宋_GB2312"/>
                <w:color w:val="auto"/>
                <w:sz w:val="24"/>
                <w:highlight w:val="none"/>
              </w:rPr>
            </w:pPr>
          </w:p>
        </w:tc>
        <w:tc>
          <w:tcPr>
            <w:tcW w:w="1110" w:type="dxa"/>
            <w:vAlign w:val="center"/>
          </w:tcPr>
          <w:p w14:paraId="1383904F">
            <w:pPr>
              <w:adjustRightInd w:val="0"/>
              <w:snapToGrid w:val="0"/>
              <w:jc w:val="center"/>
              <w:rPr>
                <w:rFonts w:cs="仿宋_GB2312"/>
                <w:color w:val="auto"/>
                <w:sz w:val="24"/>
                <w:highlight w:val="none"/>
              </w:rPr>
            </w:pPr>
          </w:p>
        </w:tc>
        <w:tc>
          <w:tcPr>
            <w:tcW w:w="1081" w:type="dxa"/>
            <w:vAlign w:val="center"/>
          </w:tcPr>
          <w:p w14:paraId="3943D1B5">
            <w:pPr>
              <w:adjustRightInd w:val="0"/>
              <w:snapToGrid w:val="0"/>
              <w:jc w:val="center"/>
              <w:rPr>
                <w:rFonts w:cs="仿宋_GB2312"/>
                <w:color w:val="auto"/>
                <w:sz w:val="24"/>
                <w:highlight w:val="none"/>
              </w:rPr>
            </w:pPr>
          </w:p>
        </w:tc>
      </w:tr>
      <w:tr w14:paraId="0A42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FAC558F">
            <w:pPr>
              <w:adjustRightInd w:val="0"/>
              <w:snapToGrid w:val="0"/>
              <w:jc w:val="center"/>
              <w:rPr>
                <w:rFonts w:cs="仿宋_GB2312"/>
                <w:color w:val="auto"/>
                <w:sz w:val="24"/>
                <w:highlight w:val="none"/>
              </w:rPr>
            </w:pPr>
          </w:p>
        </w:tc>
        <w:tc>
          <w:tcPr>
            <w:tcW w:w="872" w:type="dxa"/>
            <w:vAlign w:val="center"/>
          </w:tcPr>
          <w:p w14:paraId="715B3F90">
            <w:pPr>
              <w:adjustRightInd w:val="0"/>
              <w:snapToGrid w:val="0"/>
              <w:jc w:val="center"/>
              <w:rPr>
                <w:rFonts w:cs="仿宋_GB2312"/>
                <w:color w:val="auto"/>
                <w:sz w:val="24"/>
                <w:highlight w:val="none"/>
              </w:rPr>
            </w:pPr>
          </w:p>
        </w:tc>
        <w:tc>
          <w:tcPr>
            <w:tcW w:w="2050" w:type="dxa"/>
            <w:vAlign w:val="center"/>
          </w:tcPr>
          <w:p w14:paraId="54A277BD">
            <w:pPr>
              <w:adjustRightInd w:val="0"/>
              <w:snapToGrid w:val="0"/>
              <w:jc w:val="center"/>
              <w:rPr>
                <w:rFonts w:cs="仿宋_GB2312"/>
                <w:color w:val="auto"/>
                <w:sz w:val="24"/>
                <w:highlight w:val="none"/>
              </w:rPr>
            </w:pPr>
          </w:p>
        </w:tc>
        <w:tc>
          <w:tcPr>
            <w:tcW w:w="1050" w:type="dxa"/>
            <w:vAlign w:val="center"/>
          </w:tcPr>
          <w:p w14:paraId="77D87462">
            <w:pPr>
              <w:adjustRightInd w:val="0"/>
              <w:snapToGrid w:val="0"/>
              <w:jc w:val="center"/>
              <w:rPr>
                <w:rFonts w:cs="仿宋_GB2312"/>
                <w:color w:val="auto"/>
                <w:sz w:val="24"/>
                <w:highlight w:val="none"/>
              </w:rPr>
            </w:pPr>
          </w:p>
        </w:tc>
        <w:tc>
          <w:tcPr>
            <w:tcW w:w="2190" w:type="dxa"/>
            <w:vAlign w:val="center"/>
          </w:tcPr>
          <w:p w14:paraId="45F5D4EE">
            <w:pPr>
              <w:adjustRightInd w:val="0"/>
              <w:snapToGrid w:val="0"/>
              <w:jc w:val="center"/>
              <w:rPr>
                <w:rFonts w:cs="仿宋_GB2312"/>
                <w:color w:val="auto"/>
                <w:sz w:val="24"/>
                <w:highlight w:val="none"/>
              </w:rPr>
            </w:pPr>
          </w:p>
        </w:tc>
        <w:tc>
          <w:tcPr>
            <w:tcW w:w="1110" w:type="dxa"/>
            <w:vAlign w:val="center"/>
          </w:tcPr>
          <w:p w14:paraId="02F675B9">
            <w:pPr>
              <w:adjustRightInd w:val="0"/>
              <w:snapToGrid w:val="0"/>
              <w:jc w:val="center"/>
              <w:rPr>
                <w:rFonts w:cs="仿宋_GB2312"/>
                <w:color w:val="auto"/>
                <w:sz w:val="24"/>
                <w:highlight w:val="none"/>
              </w:rPr>
            </w:pPr>
          </w:p>
        </w:tc>
        <w:tc>
          <w:tcPr>
            <w:tcW w:w="1081" w:type="dxa"/>
            <w:vAlign w:val="center"/>
          </w:tcPr>
          <w:p w14:paraId="440EE3B8">
            <w:pPr>
              <w:adjustRightInd w:val="0"/>
              <w:snapToGrid w:val="0"/>
              <w:jc w:val="center"/>
              <w:rPr>
                <w:rFonts w:cs="仿宋_GB2312"/>
                <w:color w:val="auto"/>
                <w:sz w:val="24"/>
                <w:highlight w:val="none"/>
              </w:rPr>
            </w:pPr>
          </w:p>
        </w:tc>
      </w:tr>
      <w:tr w14:paraId="19E8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10371D2">
            <w:pPr>
              <w:adjustRightInd w:val="0"/>
              <w:snapToGrid w:val="0"/>
              <w:jc w:val="center"/>
              <w:rPr>
                <w:rFonts w:cs="仿宋_GB2312"/>
                <w:color w:val="auto"/>
                <w:sz w:val="24"/>
                <w:highlight w:val="none"/>
              </w:rPr>
            </w:pPr>
          </w:p>
        </w:tc>
        <w:tc>
          <w:tcPr>
            <w:tcW w:w="872" w:type="dxa"/>
            <w:vAlign w:val="center"/>
          </w:tcPr>
          <w:p w14:paraId="3C326559">
            <w:pPr>
              <w:adjustRightInd w:val="0"/>
              <w:snapToGrid w:val="0"/>
              <w:jc w:val="center"/>
              <w:rPr>
                <w:rFonts w:cs="仿宋_GB2312"/>
                <w:color w:val="auto"/>
                <w:sz w:val="24"/>
                <w:highlight w:val="none"/>
              </w:rPr>
            </w:pPr>
          </w:p>
        </w:tc>
        <w:tc>
          <w:tcPr>
            <w:tcW w:w="2050" w:type="dxa"/>
            <w:vAlign w:val="center"/>
          </w:tcPr>
          <w:p w14:paraId="7466DBEC">
            <w:pPr>
              <w:adjustRightInd w:val="0"/>
              <w:snapToGrid w:val="0"/>
              <w:jc w:val="center"/>
              <w:rPr>
                <w:rFonts w:cs="仿宋_GB2312"/>
                <w:color w:val="auto"/>
                <w:sz w:val="24"/>
                <w:highlight w:val="none"/>
              </w:rPr>
            </w:pPr>
          </w:p>
        </w:tc>
        <w:tc>
          <w:tcPr>
            <w:tcW w:w="1050" w:type="dxa"/>
            <w:vAlign w:val="center"/>
          </w:tcPr>
          <w:p w14:paraId="290FEFB6">
            <w:pPr>
              <w:adjustRightInd w:val="0"/>
              <w:snapToGrid w:val="0"/>
              <w:jc w:val="center"/>
              <w:rPr>
                <w:rFonts w:cs="仿宋_GB2312"/>
                <w:color w:val="auto"/>
                <w:sz w:val="24"/>
                <w:highlight w:val="none"/>
              </w:rPr>
            </w:pPr>
          </w:p>
        </w:tc>
        <w:tc>
          <w:tcPr>
            <w:tcW w:w="2190" w:type="dxa"/>
            <w:vAlign w:val="center"/>
          </w:tcPr>
          <w:p w14:paraId="636BE013">
            <w:pPr>
              <w:adjustRightInd w:val="0"/>
              <w:snapToGrid w:val="0"/>
              <w:jc w:val="center"/>
              <w:rPr>
                <w:rFonts w:cs="仿宋_GB2312"/>
                <w:color w:val="auto"/>
                <w:sz w:val="24"/>
                <w:highlight w:val="none"/>
              </w:rPr>
            </w:pPr>
          </w:p>
        </w:tc>
        <w:tc>
          <w:tcPr>
            <w:tcW w:w="1110" w:type="dxa"/>
            <w:vAlign w:val="center"/>
          </w:tcPr>
          <w:p w14:paraId="3C801344">
            <w:pPr>
              <w:adjustRightInd w:val="0"/>
              <w:snapToGrid w:val="0"/>
              <w:jc w:val="center"/>
              <w:rPr>
                <w:rFonts w:cs="仿宋_GB2312"/>
                <w:color w:val="auto"/>
                <w:sz w:val="24"/>
                <w:highlight w:val="none"/>
              </w:rPr>
            </w:pPr>
          </w:p>
        </w:tc>
        <w:tc>
          <w:tcPr>
            <w:tcW w:w="1081" w:type="dxa"/>
            <w:vAlign w:val="center"/>
          </w:tcPr>
          <w:p w14:paraId="186FF3CB">
            <w:pPr>
              <w:adjustRightInd w:val="0"/>
              <w:snapToGrid w:val="0"/>
              <w:jc w:val="center"/>
              <w:rPr>
                <w:rFonts w:cs="仿宋_GB2312"/>
                <w:color w:val="auto"/>
                <w:sz w:val="24"/>
                <w:highlight w:val="none"/>
              </w:rPr>
            </w:pPr>
          </w:p>
        </w:tc>
      </w:tr>
      <w:tr w14:paraId="442C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5023ABC">
            <w:pPr>
              <w:adjustRightInd w:val="0"/>
              <w:snapToGrid w:val="0"/>
              <w:jc w:val="center"/>
              <w:rPr>
                <w:rFonts w:cs="仿宋_GB2312"/>
                <w:color w:val="auto"/>
                <w:sz w:val="24"/>
                <w:highlight w:val="none"/>
              </w:rPr>
            </w:pPr>
          </w:p>
        </w:tc>
        <w:tc>
          <w:tcPr>
            <w:tcW w:w="872" w:type="dxa"/>
            <w:vAlign w:val="center"/>
          </w:tcPr>
          <w:p w14:paraId="4193F166">
            <w:pPr>
              <w:adjustRightInd w:val="0"/>
              <w:snapToGrid w:val="0"/>
              <w:jc w:val="center"/>
              <w:rPr>
                <w:rFonts w:cs="仿宋_GB2312"/>
                <w:color w:val="auto"/>
                <w:sz w:val="24"/>
                <w:highlight w:val="none"/>
              </w:rPr>
            </w:pPr>
          </w:p>
        </w:tc>
        <w:tc>
          <w:tcPr>
            <w:tcW w:w="2050" w:type="dxa"/>
            <w:vAlign w:val="center"/>
          </w:tcPr>
          <w:p w14:paraId="63A0AB3F">
            <w:pPr>
              <w:adjustRightInd w:val="0"/>
              <w:snapToGrid w:val="0"/>
              <w:jc w:val="center"/>
              <w:rPr>
                <w:rFonts w:cs="仿宋_GB2312"/>
                <w:color w:val="auto"/>
                <w:sz w:val="24"/>
                <w:highlight w:val="none"/>
              </w:rPr>
            </w:pPr>
          </w:p>
        </w:tc>
        <w:tc>
          <w:tcPr>
            <w:tcW w:w="1050" w:type="dxa"/>
            <w:vAlign w:val="center"/>
          </w:tcPr>
          <w:p w14:paraId="25D67DE2">
            <w:pPr>
              <w:adjustRightInd w:val="0"/>
              <w:snapToGrid w:val="0"/>
              <w:jc w:val="center"/>
              <w:rPr>
                <w:rFonts w:cs="仿宋_GB2312"/>
                <w:color w:val="auto"/>
                <w:sz w:val="24"/>
                <w:highlight w:val="none"/>
              </w:rPr>
            </w:pPr>
          </w:p>
        </w:tc>
        <w:tc>
          <w:tcPr>
            <w:tcW w:w="2190" w:type="dxa"/>
            <w:vAlign w:val="center"/>
          </w:tcPr>
          <w:p w14:paraId="30A81374">
            <w:pPr>
              <w:adjustRightInd w:val="0"/>
              <w:snapToGrid w:val="0"/>
              <w:jc w:val="center"/>
              <w:rPr>
                <w:rFonts w:cs="仿宋_GB2312"/>
                <w:color w:val="auto"/>
                <w:sz w:val="24"/>
                <w:highlight w:val="none"/>
              </w:rPr>
            </w:pPr>
          </w:p>
        </w:tc>
        <w:tc>
          <w:tcPr>
            <w:tcW w:w="1110" w:type="dxa"/>
            <w:vAlign w:val="center"/>
          </w:tcPr>
          <w:p w14:paraId="3AFF2680">
            <w:pPr>
              <w:adjustRightInd w:val="0"/>
              <w:snapToGrid w:val="0"/>
              <w:jc w:val="center"/>
              <w:rPr>
                <w:rFonts w:cs="仿宋_GB2312"/>
                <w:color w:val="auto"/>
                <w:sz w:val="24"/>
                <w:highlight w:val="none"/>
              </w:rPr>
            </w:pPr>
          </w:p>
        </w:tc>
        <w:tc>
          <w:tcPr>
            <w:tcW w:w="1081" w:type="dxa"/>
            <w:vAlign w:val="center"/>
          </w:tcPr>
          <w:p w14:paraId="6974E2C6">
            <w:pPr>
              <w:adjustRightInd w:val="0"/>
              <w:snapToGrid w:val="0"/>
              <w:jc w:val="center"/>
              <w:rPr>
                <w:rFonts w:cs="仿宋_GB2312"/>
                <w:color w:val="auto"/>
                <w:sz w:val="24"/>
                <w:highlight w:val="none"/>
              </w:rPr>
            </w:pPr>
          </w:p>
        </w:tc>
      </w:tr>
      <w:tr w14:paraId="21F2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460BC09">
            <w:pPr>
              <w:adjustRightInd w:val="0"/>
              <w:snapToGrid w:val="0"/>
              <w:jc w:val="center"/>
              <w:rPr>
                <w:rFonts w:cs="仿宋_GB2312"/>
                <w:color w:val="auto"/>
                <w:sz w:val="24"/>
                <w:highlight w:val="none"/>
              </w:rPr>
            </w:pPr>
          </w:p>
        </w:tc>
        <w:tc>
          <w:tcPr>
            <w:tcW w:w="872" w:type="dxa"/>
            <w:vAlign w:val="center"/>
          </w:tcPr>
          <w:p w14:paraId="0E1A64F6">
            <w:pPr>
              <w:adjustRightInd w:val="0"/>
              <w:snapToGrid w:val="0"/>
              <w:jc w:val="center"/>
              <w:rPr>
                <w:rFonts w:cs="仿宋_GB2312"/>
                <w:color w:val="auto"/>
                <w:sz w:val="24"/>
                <w:highlight w:val="none"/>
              </w:rPr>
            </w:pPr>
          </w:p>
        </w:tc>
        <w:tc>
          <w:tcPr>
            <w:tcW w:w="2050" w:type="dxa"/>
            <w:vAlign w:val="center"/>
          </w:tcPr>
          <w:p w14:paraId="259FF3FB">
            <w:pPr>
              <w:adjustRightInd w:val="0"/>
              <w:snapToGrid w:val="0"/>
              <w:jc w:val="center"/>
              <w:rPr>
                <w:rFonts w:cs="仿宋_GB2312"/>
                <w:color w:val="auto"/>
                <w:sz w:val="24"/>
                <w:highlight w:val="none"/>
              </w:rPr>
            </w:pPr>
          </w:p>
        </w:tc>
        <w:tc>
          <w:tcPr>
            <w:tcW w:w="1050" w:type="dxa"/>
            <w:vAlign w:val="center"/>
          </w:tcPr>
          <w:p w14:paraId="045FAA05">
            <w:pPr>
              <w:adjustRightInd w:val="0"/>
              <w:snapToGrid w:val="0"/>
              <w:jc w:val="center"/>
              <w:rPr>
                <w:rFonts w:cs="仿宋_GB2312"/>
                <w:color w:val="auto"/>
                <w:sz w:val="24"/>
                <w:highlight w:val="none"/>
              </w:rPr>
            </w:pPr>
          </w:p>
        </w:tc>
        <w:tc>
          <w:tcPr>
            <w:tcW w:w="2190" w:type="dxa"/>
            <w:vAlign w:val="center"/>
          </w:tcPr>
          <w:p w14:paraId="650A4061">
            <w:pPr>
              <w:adjustRightInd w:val="0"/>
              <w:snapToGrid w:val="0"/>
              <w:jc w:val="center"/>
              <w:rPr>
                <w:rFonts w:cs="仿宋_GB2312"/>
                <w:color w:val="auto"/>
                <w:sz w:val="24"/>
                <w:highlight w:val="none"/>
              </w:rPr>
            </w:pPr>
          </w:p>
        </w:tc>
        <w:tc>
          <w:tcPr>
            <w:tcW w:w="1110" w:type="dxa"/>
            <w:vAlign w:val="center"/>
          </w:tcPr>
          <w:p w14:paraId="5554BCC7">
            <w:pPr>
              <w:adjustRightInd w:val="0"/>
              <w:snapToGrid w:val="0"/>
              <w:jc w:val="center"/>
              <w:rPr>
                <w:rFonts w:cs="仿宋_GB2312"/>
                <w:color w:val="auto"/>
                <w:sz w:val="24"/>
                <w:highlight w:val="none"/>
              </w:rPr>
            </w:pPr>
          </w:p>
        </w:tc>
        <w:tc>
          <w:tcPr>
            <w:tcW w:w="1081" w:type="dxa"/>
            <w:vAlign w:val="center"/>
          </w:tcPr>
          <w:p w14:paraId="2EDAFB94">
            <w:pPr>
              <w:adjustRightInd w:val="0"/>
              <w:snapToGrid w:val="0"/>
              <w:jc w:val="center"/>
              <w:rPr>
                <w:rFonts w:cs="仿宋_GB2312"/>
                <w:color w:val="auto"/>
                <w:sz w:val="24"/>
                <w:highlight w:val="none"/>
              </w:rPr>
            </w:pPr>
          </w:p>
        </w:tc>
      </w:tr>
      <w:tr w14:paraId="58D2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4F7808A">
            <w:pPr>
              <w:adjustRightInd w:val="0"/>
              <w:snapToGrid w:val="0"/>
              <w:jc w:val="center"/>
              <w:rPr>
                <w:rFonts w:cs="仿宋_GB2312"/>
                <w:color w:val="auto"/>
                <w:sz w:val="24"/>
                <w:highlight w:val="none"/>
              </w:rPr>
            </w:pPr>
          </w:p>
        </w:tc>
        <w:tc>
          <w:tcPr>
            <w:tcW w:w="872" w:type="dxa"/>
            <w:vAlign w:val="center"/>
          </w:tcPr>
          <w:p w14:paraId="060B0D98">
            <w:pPr>
              <w:adjustRightInd w:val="0"/>
              <w:snapToGrid w:val="0"/>
              <w:jc w:val="center"/>
              <w:rPr>
                <w:rFonts w:cs="仿宋_GB2312"/>
                <w:color w:val="auto"/>
                <w:sz w:val="24"/>
                <w:highlight w:val="none"/>
              </w:rPr>
            </w:pPr>
          </w:p>
        </w:tc>
        <w:tc>
          <w:tcPr>
            <w:tcW w:w="2050" w:type="dxa"/>
            <w:vAlign w:val="center"/>
          </w:tcPr>
          <w:p w14:paraId="7115436D">
            <w:pPr>
              <w:adjustRightInd w:val="0"/>
              <w:snapToGrid w:val="0"/>
              <w:jc w:val="center"/>
              <w:rPr>
                <w:rFonts w:cs="仿宋_GB2312"/>
                <w:color w:val="auto"/>
                <w:sz w:val="24"/>
                <w:highlight w:val="none"/>
              </w:rPr>
            </w:pPr>
          </w:p>
        </w:tc>
        <w:tc>
          <w:tcPr>
            <w:tcW w:w="1050" w:type="dxa"/>
            <w:vAlign w:val="center"/>
          </w:tcPr>
          <w:p w14:paraId="57C8AA2D">
            <w:pPr>
              <w:adjustRightInd w:val="0"/>
              <w:snapToGrid w:val="0"/>
              <w:jc w:val="center"/>
              <w:rPr>
                <w:rFonts w:cs="仿宋_GB2312"/>
                <w:color w:val="auto"/>
                <w:sz w:val="24"/>
                <w:highlight w:val="none"/>
              </w:rPr>
            </w:pPr>
          </w:p>
        </w:tc>
        <w:tc>
          <w:tcPr>
            <w:tcW w:w="2190" w:type="dxa"/>
            <w:vAlign w:val="center"/>
          </w:tcPr>
          <w:p w14:paraId="48356AAC">
            <w:pPr>
              <w:adjustRightInd w:val="0"/>
              <w:snapToGrid w:val="0"/>
              <w:jc w:val="center"/>
              <w:rPr>
                <w:rFonts w:cs="仿宋_GB2312"/>
                <w:color w:val="auto"/>
                <w:sz w:val="24"/>
                <w:highlight w:val="none"/>
              </w:rPr>
            </w:pPr>
          </w:p>
        </w:tc>
        <w:tc>
          <w:tcPr>
            <w:tcW w:w="1110" w:type="dxa"/>
            <w:vAlign w:val="center"/>
          </w:tcPr>
          <w:p w14:paraId="444A18A8">
            <w:pPr>
              <w:adjustRightInd w:val="0"/>
              <w:snapToGrid w:val="0"/>
              <w:jc w:val="center"/>
              <w:rPr>
                <w:rFonts w:cs="仿宋_GB2312"/>
                <w:color w:val="auto"/>
                <w:sz w:val="24"/>
                <w:highlight w:val="none"/>
              </w:rPr>
            </w:pPr>
          </w:p>
        </w:tc>
        <w:tc>
          <w:tcPr>
            <w:tcW w:w="1081" w:type="dxa"/>
            <w:vAlign w:val="center"/>
          </w:tcPr>
          <w:p w14:paraId="69A0CC81">
            <w:pPr>
              <w:adjustRightInd w:val="0"/>
              <w:snapToGrid w:val="0"/>
              <w:jc w:val="center"/>
              <w:rPr>
                <w:rFonts w:cs="仿宋_GB2312"/>
                <w:color w:val="auto"/>
                <w:sz w:val="24"/>
                <w:highlight w:val="none"/>
              </w:rPr>
            </w:pPr>
          </w:p>
        </w:tc>
      </w:tr>
      <w:tr w14:paraId="330E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B655511">
            <w:pPr>
              <w:adjustRightInd w:val="0"/>
              <w:snapToGrid w:val="0"/>
              <w:jc w:val="center"/>
              <w:rPr>
                <w:rFonts w:cs="仿宋_GB2312"/>
                <w:color w:val="auto"/>
                <w:sz w:val="24"/>
                <w:highlight w:val="none"/>
              </w:rPr>
            </w:pPr>
          </w:p>
        </w:tc>
        <w:tc>
          <w:tcPr>
            <w:tcW w:w="872" w:type="dxa"/>
            <w:vAlign w:val="center"/>
          </w:tcPr>
          <w:p w14:paraId="197D32DD">
            <w:pPr>
              <w:adjustRightInd w:val="0"/>
              <w:snapToGrid w:val="0"/>
              <w:jc w:val="center"/>
              <w:rPr>
                <w:rFonts w:cs="仿宋_GB2312"/>
                <w:color w:val="auto"/>
                <w:sz w:val="24"/>
                <w:highlight w:val="none"/>
              </w:rPr>
            </w:pPr>
          </w:p>
        </w:tc>
        <w:tc>
          <w:tcPr>
            <w:tcW w:w="2050" w:type="dxa"/>
            <w:vAlign w:val="center"/>
          </w:tcPr>
          <w:p w14:paraId="7314F8E9">
            <w:pPr>
              <w:adjustRightInd w:val="0"/>
              <w:snapToGrid w:val="0"/>
              <w:jc w:val="center"/>
              <w:rPr>
                <w:rFonts w:cs="仿宋_GB2312"/>
                <w:color w:val="auto"/>
                <w:sz w:val="24"/>
                <w:highlight w:val="none"/>
              </w:rPr>
            </w:pPr>
          </w:p>
        </w:tc>
        <w:tc>
          <w:tcPr>
            <w:tcW w:w="1050" w:type="dxa"/>
            <w:vAlign w:val="center"/>
          </w:tcPr>
          <w:p w14:paraId="069DFE6E">
            <w:pPr>
              <w:adjustRightInd w:val="0"/>
              <w:snapToGrid w:val="0"/>
              <w:jc w:val="center"/>
              <w:rPr>
                <w:rFonts w:cs="仿宋_GB2312"/>
                <w:color w:val="auto"/>
                <w:sz w:val="24"/>
                <w:highlight w:val="none"/>
              </w:rPr>
            </w:pPr>
          </w:p>
        </w:tc>
        <w:tc>
          <w:tcPr>
            <w:tcW w:w="2190" w:type="dxa"/>
            <w:vAlign w:val="center"/>
          </w:tcPr>
          <w:p w14:paraId="76367822">
            <w:pPr>
              <w:adjustRightInd w:val="0"/>
              <w:snapToGrid w:val="0"/>
              <w:jc w:val="center"/>
              <w:rPr>
                <w:rFonts w:cs="仿宋_GB2312"/>
                <w:color w:val="auto"/>
                <w:sz w:val="24"/>
                <w:highlight w:val="none"/>
              </w:rPr>
            </w:pPr>
          </w:p>
        </w:tc>
        <w:tc>
          <w:tcPr>
            <w:tcW w:w="1110" w:type="dxa"/>
            <w:vAlign w:val="center"/>
          </w:tcPr>
          <w:p w14:paraId="22AB96B5">
            <w:pPr>
              <w:adjustRightInd w:val="0"/>
              <w:snapToGrid w:val="0"/>
              <w:jc w:val="center"/>
              <w:rPr>
                <w:rFonts w:cs="仿宋_GB2312"/>
                <w:color w:val="auto"/>
                <w:sz w:val="24"/>
                <w:highlight w:val="none"/>
              </w:rPr>
            </w:pPr>
          </w:p>
        </w:tc>
        <w:tc>
          <w:tcPr>
            <w:tcW w:w="1081" w:type="dxa"/>
            <w:vAlign w:val="center"/>
          </w:tcPr>
          <w:p w14:paraId="2BC15607">
            <w:pPr>
              <w:adjustRightInd w:val="0"/>
              <w:snapToGrid w:val="0"/>
              <w:jc w:val="center"/>
              <w:rPr>
                <w:rFonts w:cs="仿宋_GB2312"/>
                <w:color w:val="auto"/>
                <w:sz w:val="24"/>
                <w:highlight w:val="none"/>
              </w:rPr>
            </w:pPr>
          </w:p>
        </w:tc>
      </w:tr>
      <w:tr w14:paraId="577A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D355C33">
            <w:pPr>
              <w:adjustRightInd w:val="0"/>
              <w:snapToGrid w:val="0"/>
              <w:jc w:val="center"/>
              <w:rPr>
                <w:rFonts w:cs="仿宋_GB2312"/>
                <w:color w:val="auto"/>
                <w:sz w:val="24"/>
                <w:highlight w:val="none"/>
              </w:rPr>
            </w:pPr>
          </w:p>
        </w:tc>
        <w:tc>
          <w:tcPr>
            <w:tcW w:w="872" w:type="dxa"/>
            <w:vAlign w:val="center"/>
          </w:tcPr>
          <w:p w14:paraId="431EF6BB">
            <w:pPr>
              <w:adjustRightInd w:val="0"/>
              <w:snapToGrid w:val="0"/>
              <w:jc w:val="center"/>
              <w:rPr>
                <w:rFonts w:cs="仿宋_GB2312"/>
                <w:color w:val="auto"/>
                <w:sz w:val="24"/>
                <w:highlight w:val="none"/>
              </w:rPr>
            </w:pPr>
          </w:p>
        </w:tc>
        <w:tc>
          <w:tcPr>
            <w:tcW w:w="2050" w:type="dxa"/>
            <w:vAlign w:val="center"/>
          </w:tcPr>
          <w:p w14:paraId="15EC347C">
            <w:pPr>
              <w:adjustRightInd w:val="0"/>
              <w:snapToGrid w:val="0"/>
              <w:jc w:val="center"/>
              <w:rPr>
                <w:rFonts w:cs="仿宋_GB2312"/>
                <w:color w:val="auto"/>
                <w:sz w:val="24"/>
                <w:highlight w:val="none"/>
              </w:rPr>
            </w:pPr>
          </w:p>
        </w:tc>
        <w:tc>
          <w:tcPr>
            <w:tcW w:w="1050" w:type="dxa"/>
            <w:vAlign w:val="center"/>
          </w:tcPr>
          <w:p w14:paraId="21A636A4">
            <w:pPr>
              <w:adjustRightInd w:val="0"/>
              <w:snapToGrid w:val="0"/>
              <w:jc w:val="center"/>
              <w:rPr>
                <w:rFonts w:cs="仿宋_GB2312"/>
                <w:color w:val="auto"/>
                <w:sz w:val="24"/>
                <w:highlight w:val="none"/>
              </w:rPr>
            </w:pPr>
          </w:p>
        </w:tc>
        <w:tc>
          <w:tcPr>
            <w:tcW w:w="2190" w:type="dxa"/>
            <w:vAlign w:val="center"/>
          </w:tcPr>
          <w:p w14:paraId="008AF0E6">
            <w:pPr>
              <w:adjustRightInd w:val="0"/>
              <w:snapToGrid w:val="0"/>
              <w:jc w:val="center"/>
              <w:rPr>
                <w:rFonts w:cs="仿宋_GB2312"/>
                <w:color w:val="auto"/>
                <w:sz w:val="24"/>
                <w:highlight w:val="none"/>
              </w:rPr>
            </w:pPr>
          </w:p>
        </w:tc>
        <w:tc>
          <w:tcPr>
            <w:tcW w:w="1110" w:type="dxa"/>
            <w:vAlign w:val="center"/>
          </w:tcPr>
          <w:p w14:paraId="6D484752">
            <w:pPr>
              <w:adjustRightInd w:val="0"/>
              <w:snapToGrid w:val="0"/>
              <w:jc w:val="center"/>
              <w:rPr>
                <w:rFonts w:cs="仿宋_GB2312"/>
                <w:color w:val="auto"/>
                <w:sz w:val="24"/>
                <w:highlight w:val="none"/>
              </w:rPr>
            </w:pPr>
          </w:p>
        </w:tc>
        <w:tc>
          <w:tcPr>
            <w:tcW w:w="1081" w:type="dxa"/>
            <w:vAlign w:val="center"/>
          </w:tcPr>
          <w:p w14:paraId="08E51598">
            <w:pPr>
              <w:adjustRightInd w:val="0"/>
              <w:snapToGrid w:val="0"/>
              <w:jc w:val="center"/>
              <w:rPr>
                <w:rFonts w:cs="仿宋_GB2312"/>
                <w:color w:val="auto"/>
                <w:sz w:val="24"/>
                <w:highlight w:val="none"/>
              </w:rPr>
            </w:pPr>
          </w:p>
        </w:tc>
      </w:tr>
      <w:tr w14:paraId="1CF7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5A46963">
            <w:pPr>
              <w:adjustRightInd w:val="0"/>
              <w:snapToGrid w:val="0"/>
              <w:jc w:val="center"/>
              <w:rPr>
                <w:rFonts w:cs="仿宋_GB2312"/>
                <w:color w:val="auto"/>
                <w:sz w:val="24"/>
                <w:highlight w:val="none"/>
              </w:rPr>
            </w:pPr>
          </w:p>
        </w:tc>
        <w:tc>
          <w:tcPr>
            <w:tcW w:w="872" w:type="dxa"/>
            <w:vAlign w:val="center"/>
          </w:tcPr>
          <w:p w14:paraId="0F6BB33D">
            <w:pPr>
              <w:adjustRightInd w:val="0"/>
              <w:snapToGrid w:val="0"/>
              <w:jc w:val="center"/>
              <w:rPr>
                <w:rFonts w:cs="仿宋_GB2312"/>
                <w:color w:val="auto"/>
                <w:sz w:val="24"/>
                <w:highlight w:val="none"/>
              </w:rPr>
            </w:pPr>
          </w:p>
        </w:tc>
        <w:tc>
          <w:tcPr>
            <w:tcW w:w="2050" w:type="dxa"/>
            <w:vAlign w:val="center"/>
          </w:tcPr>
          <w:p w14:paraId="31C7EE72">
            <w:pPr>
              <w:adjustRightInd w:val="0"/>
              <w:snapToGrid w:val="0"/>
              <w:jc w:val="center"/>
              <w:rPr>
                <w:rFonts w:cs="仿宋_GB2312"/>
                <w:color w:val="auto"/>
                <w:sz w:val="24"/>
                <w:highlight w:val="none"/>
              </w:rPr>
            </w:pPr>
          </w:p>
        </w:tc>
        <w:tc>
          <w:tcPr>
            <w:tcW w:w="1050" w:type="dxa"/>
            <w:vAlign w:val="center"/>
          </w:tcPr>
          <w:p w14:paraId="5E136999">
            <w:pPr>
              <w:adjustRightInd w:val="0"/>
              <w:snapToGrid w:val="0"/>
              <w:jc w:val="center"/>
              <w:rPr>
                <w:rFonts w:cs="仿宋_GB2312"/>
                <w:color w:val="auto"/>
                <w:sz w:val="24"/>
                <w:highlight w:val="none"/>
              </w:rPr>
            </w:pPr>
          </w:p>
        </w:tc>
        <w:tc>
          <w:tcPr>
            <w:tcW w:w="2190" w:type="dxa"/>
            <w:vAlign w:val="center"/>
          </w:tcPr>
          <w:p w14:paraId="29C6F8C9">
            <w:pPr>
              <w:adjustRightInd w:val="0"/>
              <w:snapToGrid w:val="0"/>
              <w:jc w:val="center"/>
              <w:rPr>
                <w:rFonts w:cs="仿宋_GB2312"/>
                <w:color w:val="auto"/>
                <w:sz w:val="24"/>
                <w:highlight w:val="none"/>
              </w:rPr>
            </w:pPr>
          </w:p>
        </w:tc>
        <w:tc>
          <w:tcPr>
            <w:tcW w:w="1110" w:type="dxa"/>
            <w:vAlign w:val="center"/>
          </w:tcPr>
          <w:p w14:paraId="51430791">
            <w:pPr>
              <w:adjustRightInd w:val="0"/>
              <w:snapToGrid w:val="0"/>
              <w:jc w:val="center"/>
              <w:rPr>
                <w:rFonts w:cs="仿宋_GB2312"/>
                <w:color w:val="auto"/>
                <w:sz w:val="24"/>
                <w:highlight w:val="none"/>
              </w:rPr>
            </w:pPr>
          </w:p>
        </w:tc>
        <w:tc>
          <w:tcPr>
            <w:tcW w:w="1081" w:type="dxa"/>
            <w:vAlign w:val="center"/>
          </w:tcPr>
          <w:p w14:paraId="138629A2">
            <w:pPr>
              <w:adjustRightInd w:val="0"/>
              <w:snapToGrid w:val="0"/>
              <w:jc w:val="center"/>
              <w:rPr>
                <w:rFonts w:cs="仿宋_GB2312"/>
                <w:color w:val="auto"/>
                <w:sz w:val="24"/>
                <w:highlight w:val="none"/>
              </w:rPr>
            </w:pPr>
          </w:p>
        </w:tc>
      </w:tr>
    </w:tbl>
    <w:p w14:paraId="6E0596C0">
      <w:pPr>
        <w:pStyle w:val="50"/>
        <w:adjustRightInd w:val="0"/>
        <w:snapToGrid w:val="0"/>
        <w:spacing w:line="360" w:lineRule="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注：1、请投标人在“是否响应”栏内根据响应情况填写“满足或负偏离或正偏离”，负偏离或正偏离请在“偏离说明”栏内扼要说明偏离情况。</w:t>
      </w:r>
    </w:p>
    <w:p w14:paraId="6775448D">
      <w:pPr>
        <w:pStyle w:val="50"/>
        <w:adjustRightInd w:val="0"/>
        <w:snapToGrid w:val="0"/>
        <w:spacing w:line="360" w:lineRule="auto"/>
        <w:ind w:firstLine="480" w:firstLineChars="20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2、若投标人未提供或未填写本表，均视作完全响应招标文件要求。</w:t>
      </w:r>
    </w:p>
    <w:p w14:paraId="18D3B85B">
      <w:pPr>
        <w:pStyle w:val="50"/>
        <w:adjustRightInd w:val="0"/>
        <w:snapToGrid w:val="0"/>
        <w:spacing w:line="360" w:lineRule="auto"/>
        <w:ind w:firstLine="480" w:firstLineChars="200"/>
        <w:rPr>
          <w:rFonts w:ascii="Times New Roman" w:hAnsi="Times New Roman" w:eastAsia="仿宋_GB2312" w:cs="仿宋_GB2312"/>
          <w:color w:val="auto"/>
          <w:sz w:val="24"/>
          <w:szCs w:val="24"/>
          <w:highlight w:val="none"/>
        </w:rPr>
      </w:pPr>
    </w:p>
    <w:p w14:paraId="0D543A74">
      <w:pPr>
        <w:pStyle w:val="50"/>
        <w:adjustRightInd w:val="0"/>
        <w:snapToGrid w:val="0"/>
        <w:spacing w:line="360" w:lineRule="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投标人（盖公章）：</w:t>
      </w:r>
    </w:p>
    <w:p w14:paraId="73531AE0">
      <w:pPr>
        <w:pStyle w:val="50"/>
        <w:adjustRightInd w:val="0"/>
        <w:snapToGrid w:val="0"/>
        <w:spacing w:line="360" w:lineRule="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法定代表人（负责人）或其委托代理人（签字或盖章）：</w:t>
      </w:r>
    </w:p>
    <w:p w14:paraId="563B000E">
      <w:pPr>
        <w:pStyle w:val="50"/>
        <w:adjustRightInd w:val="0"/>
        <w:snapToGrid w:val="0"/>
        <w:spacing w:line="360" w:lineRule="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snapToGrid w:val="0"/>
          <w:color w:val="auto"/>
          <w:sz w:val="24"/>
          <w:szCs w:val="24"/>
          <w:highlight w:val="none"/>
        </w:rPr>
        <w:t>日期：</w:t>
      </w:r>
      <w:r>
        <w:rPr>
          <w:rFonts w:hint="eastAsia" w:ascii="Times New Roman" w:hAnsi="Times New Roman" w:eastAsia="仿宋_GB2312" w:cs="仿宋_GB2312"/>
          <w:color w:val="auto"/>
          <w:sz w:val="24"/>
          <w:szCs w:val="24"/>
          <w:highlight w:val="none"/>
        </w:rPr>
        <w:t xml:space="preserve">      年    月    日</w:t>
      </w:r>
    </w:p>
    <w:p w14:paraId="307DFC84">
      <w:pPr>
        <w:pStyle w:val="50"/>
        <w:adjustRightInd w:val="0"/>
        <w:snapToGrid w:val="0"/>
        <w:spacing w:line="360" w:lineRule="auto"/>
        <w:rPr>
          <w:rFonts w:ascii="Times New Roman" w:hAnsi="Times New Roman" w:eastAsia="仿宋_GB2312" w:cs="仿宋_GB2312"/>
          <w:color w:val="auto"/>
          <w:sz w:val="24"/>
          <w:szCs w:val="24"/>
          <w:highlight w:val="none"/>
        </w:rPr>
      </w:pPr>
    </w:p>
    <w:p w14:paraId="6C4D2F37">
      <w:pPr>
        <w:pStyle w:val="50"/>
        <w:adjustRightInd w:val="0"/>
        <w:snapToGrid w:val="0"/>
        <w:spacing w:line="360" w:lineRule="auto"/>
        <w:rPr>
          <w:rFonts w:ascii="Times New Roman" w:hAnsi="Times New Roman" w:eastAsia="仿宋_GB2312" w:cs="仿宋_GB2312"/>
          <w:color w:val="auto"/>
          <w:sz w:val="24"/>
          <w:szCs w:val="24"/>
          <w:highlight w:val="none"/>
        </w:rPr>
      </w:pPr>
    </w:p>
    <w:p w14:paraId="681933F5">
      <w:pPr>
        <w:pStyle w:val="50"/>
        <w:adjustRightInd w:val="0"/>
        <w:snapToGrid w:val="0"/>
        <w:spacing w:line="360" w:lineRule="auto"/>
        <w:rPr>
          <w:rFonts w:ascii="Times New Roman" w:hAnsi="Times New Roman" w:eastAsia="仿宋_GB2312" w:cs="仿宋_GB2312"/>
          <w:color w:val="auto"/>
          <w:sz w:val="24"/>
          <w:szCs w:val="24"/>
          <w:highlight w:val="none"/>
        </w:rPr>
      </w:pPr>
    </w:p>
    <w:p w14:paraId="29EB3C42">
      <w:pPr>
        <w:pStyle w:val="5"/>
        <w:jc w:val="center"/>
        <w:rPr>
          <w:rFonts w:ascii="Times New Roman" w:hAnsi="Times New Roman" w:eastAsia="仿宋_GB2312" w:cs="仿宋_GB2312"/>
          <w:bCs w:val="0"/>
          <w:color w:val="auto"/>
          <w:sz w:val="24"/>
          <w:szCs w:val="24"/>
          <w:highlight w:val="none"/>
          <w:lang w:val="zh-CN"/>
        </w:rPr>
      </w:pPr>
      <w:r>
        <w:rPr>
          <w:rFonts w:hint="eastAsia" w:ascii="Times New Roman" w:hAnsi="Times New Roman" w:eastAsia="仿宋_GB2312" w:cs="仿宋_GB2312"/>
          <w:bCs w:val="0"/>
          <w:color w:val="auto"/>
          <w:sz w:val="24"/>
          <w:szCs w:val="24"/>
          <w:highlight w:val="none"/>
        </w:rPr>
        <w:t>四、</w:t>
      </w:r>
      <w:r>
        <w:rPr>
          <w:rFonts w:hint="eastAsia" w:ascii="Times New Roman" w:hAnsi="Times New Roman" w:eastAsia="仿宋_GB2312" w:cs="仿宋_GB2312"/>
          <w:bCs w:val="0"/>
          <w:color w:val="auto"/>
          <w:sz w:val="24"/>
          <w:szCs w:val="24"/>
          <w:highlight w:val="none"/>
          <w:lang w:val="zh-CN"/>
        </w:rPr>
        <w:t>投标人认为有必要的其他内容</w:t>
      </w:r>
    </w:p>
    <w:p w14:paraId="40738C4A">
      <w:pPr>
        <w:jc w:val="center"/>
        <w:rPr>
          <w:rFonts w:cs="仿宋_GB2312"/>
          <w:color w:val="auto"/>
          <w:sz w:val="24"/>
          <w:highlight w:val="none"/>
        </w:rPr>
      </w:pPr>
      <w:r>
        <w:rPr>
          <w:rFonts w:hint="eastAsia" w:cs="仿宋_GB2312"/>
          <w:color w:val="auto"/>
          <w:sz w:val="24"/>
          <w:highlight w:val="none"/>
        </w:rPr>
        <w:t>（包括与评审有关的内容）</w:t>
      </w:r>
    </w:p>
    <w:p w14:paraId="2BD9C455">
      <w:pPr>
        <w:jc w:val="center"/>
        <w:rPr>
          <w:rFonts w:cs="仿宋_GB2312"/>
          <w:color w:val="auto"/>
          <w:sz w:val="24"/>
          <w:highlight w:val="none"/>
        </w:rPr>
      </w:pPr>
    </w:p>
    <w:p w14:paraId="5C4DB55D">
      <w:pPr>
        <w:jc w:val="center"/>
        <w:rPr>
          <w:rFonts w:cs="仿宋_GB2312"/>
          <w:color w:val="auto"/>
          <w:sz w:val="24"/>
          <w:highlight w:val="none"/>
        </w:rPr>
      </w:pPr>
    </w:p>
    <w:p w14:paraId="2C338B60">
      <w:pPr>
        <w:jc w:val="center"/>
        <w:rPr>
          <w:rFonts w:cs="仿宋_GB2312"/>
          <w:color w:val="auto"/>
          <w:sz w:val="24"/>
          <w:highlight w:val="none"/>
        </w:rPr>
      </w:pPr>
    </w:p>
    <w:bookmarkEnd w:id="134"/>
    <w:p w14:paraId="5076AC81">
      <w:pPr>
        <w:rPr>
          <w:rFonts w:eastAsia="黑体" w:cs="黑体"/>
          <w:bCs/>
          <w:color w:val="auto"/>
          <w:kern w:val="44"/>
          <w:szCs w:val="32"/>
          <w:highlight w:val="none"/>
        </w:rPr>
      </w:pPr>
      <w:bookmarkStart w:id="148" w:name="_Toc1923"/>
      <w:r>
        <w:rPr>
          <w:rFonts w:hint="eastAsia" w:eastAsia="黑体" w:cs="黑体"/>
          <w:bCs/>
          <w:color w:val="auto"/>
          <w:kern w:val="44"/>
          <w:szCs w:val="32"/>
          <w:highlight w:val="none"/>
        </w:rPr>
        <w:br w:type="page"/>
      </w:r>
    </w:p>
    <w:p w14:paraId="73C4A767">
      <w:pPr>
        <w:pStyle w:val="3"/>
        <w:widowControl/>
        <w:adjustRightInd w:val="0"/>
        <w:snapToGrid w:val="0"/>
        <w:spacing w:before="0" w:after="0" w:line="360" w:lineRule="auto"/>
        <w:rPr>
          <w:rFonts w:eastAsia="黑体" w:cs="黑体"/>
          <w:b w:val="0"/>
          <w:bCs/>
          <w:color w:val="auto"/>
          <w:sz w:val="32"/>
          <w:szCs w:val="32"/>
          <w:highlight w:val="none"/>
        </w:rPr>
      </w:pPr>
      <w:bookmarkStart w:id="149" w:name="_Toc23917"/>
      <w:r>
        <w:rPr>
          <w:rFonts w:hint="eastAsia" w:eastAsia="黑体" w:cs="黑体"/>
          <w:b w:val="0"/>
          <w:bCs/>
          <w:color w:val="auto"/>
          <w:sz w:val="32"/>
          <w:szCs w:val="32"/>
          <w:highlight w:val="none"/>
        </w:rPr>
        <w:t>第六章  合同条款及格式（仅供参考，以实际签订为准）</w:t>
      </w:r>
      <w:bookmarkEnd w:id="149"/>
    </w:p>
    <w:bookmarkEnd w:id="148"/>
    <w:p w14:paraId="5A5712C0">
      <w:pPr>
        <w:pStyle w:val="9"/>
        <w:jc w:val="center"/>
        <w:rPr>
          <w:rFonts w:eastAsia="仿宋_GB2312" w:cs="仿宋_GB2312"/>
          <w:b/>
          <w:color w:val="auto"/>
          <w:sz w:val="24"/>
          <w:szCs w:val="24"/>
          <w:highlight w:val="none"/>
        </w:rPr>
      </w:pPr>
    </w:p>
    <w:bookmarkEnd w:id="0"/>
    <w:p w14:paraId="59774529">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LJGS-2025-          </w:t>
      </w:r>
    </w:p>
    <w:p w14:paraId="4FA527EF">
      <w:pPr>
        <w:spacing w:line="480" w:lineRule="auto"/>
        <w:jc w:val="center"/>
        <w:rPr>
          <w:rFonts w:hint="eastAsia" w:ascii="宋体" w:hAnsi="宋体" w:cs="宋体"/>
          <w:b/>
          <w:color w:val="auto"/>
          <w:sz w:val="28"/>
          <w:szCs w:val="28"/>
          <w:highlight w:val="none"/>
        </w:rPr>
      </w:pPr>
    </w:p>
    <w:p w14:paraId="0DF9E733">
      <w:pPr>
        <w:spacing w:line="480" w:lineRule="auto"/>
        <w:jc w:val="center"/>
        <w:rPr>
          <w:rFonts w:hint="eastAsia" w:ascii="宋体" w:hAnsi="宋体" w:cs="宋体"/>
          <w:b/>
          <w:color w:val="auto"/>
          <w:sz w:val="24"/>
          <w:highlight w:val="none"/>
        </w:rPr>
      </w:pPr>
    </w:p>
    <w:p w14:paraId="47274E2B">
      <w:pPr>
        <w:adjustRightInd w:val="0"/>
        <w:snapToGrid w:val="0"/>
        <w:spacing w:line="360" w:lineRule="auto"/>
        <w:jc w:val="center"/>
        <w:rPr>
          <w:rFonts w:hint="eastAsia" w:ascii="仿宋_GB2312" w:hAnsi="仿宋_GB2312" w:cs="仿宋_GB2312"/>
          <w:b/>
          <w:color w:val="auto"/>
          <w:sz w:val="24"/>
          <w:highlight w:val="none"/>
        </w:rPr>
      </w:pPr>
    </w:p>
    <w:p w14:paraId="49EE9BC4">
      <w:pPr>
        <w:adjustRightInd w:val="0"/>
        <w:snapToGrid w:val="0"/>
        <w:spacing w:line="360" w:lineRule="auto"/>
        <w:jc w:val="center"/>
        <w:rPr>
          <w:rFonts w:hint="eastAsia" w:ascii="仿宋_GB2312" w:hAnsi="仿宋_GB2312" w:cs="仿宋_GB2312"/>
          <w:b/>
          <w:color w:val="auto"/>
          <w:sz w:val="24"/>
          <w:highlight w:val="none"/>
        </w:rPr>
      </w:pPr>
      <w:r>
        <w:rPr>
          <w:rFonts w:hint="eastAsia" w:ascii="仿宋_GB2312" w:hAnsi="仿宋_GB2312" w:cs="仿宋_GB2312"/>
          <w:b/>
          <w:color w:val="auto"/>
          <w:sz w:val="24"/>
          <w:highlight w:val="none"/>
        </w:rPr>
        <w:t>服务类采购合同</w:t>
      </w:r>
    </w:p>
    <w:p w14:paraId="61DA875E">
      <w:pPr>
        <w:adjustRightInd w:val="0"/>
        <w:snapToGrid w:val="0"/>
        <w:spacing w:before="120" w:line="360" w:lineRule="auto"/>
        <w:rPr>
          <w:rFonts w:hint="eastAsia" w:ascii="仿宋_GB2312" w:hAnsi="仿宋_GB2312" w:cs="仿宋_GB2312"/>
          <w:color w:val="auto"/>
          <w:sz w:val="24"/>
          <w:highlight w:val="none"/>
        </w:rPr>
      </w:pPr>
    </w:p>
    <w:p w14:paraId="178800D6">
      <w:pPr>
        <w:pStyle w:val="4"/>
        <w:tabs>
          <w:tab w:val="left" w:pos="432"/>
        </w:tabs>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5794C37E">
      <w:pPr>
        <w:adjustRightInd w:val="0"/>
        <w:snapToGrid w:val="0"/>
        <w:spacing w:before="120" w:line="360" w:lineRule="auto"/>
        <w:ind w:left="96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项目名称：</w:t>
      </w:r>
      <w:r>
        <w:rPr>
          <w:rFonts w:hint="eastAsia" w:ascii="仿宋_GB2312" w:hAnsi="仿宋_GB2312" w:cs="仿宋_GB2312"/>
          <w:color w:val="auto"/>
          <w:sz w:val="24"/>
          <w:highlight w:val="none"/>
          <w:u w:val="single"/>
        </w:rPr>
        <w:t xml:space="preserve">   2025年—2028年垃圾吊改造项目         </w:t>
      </w:r>
    </w:p>
    <w:p w14:paraId="011CA9FF">
      <w:pPr>
        <w:adjustRightInd w:val="0"/>
        <w:snapToGrid w:val="0"/>
        <w:spacing w:line="360" w:lineRule="auto"/>
        <w:rPr>
          <w:rFonts w:hint="eastAsia" w:ascii="仿宋_GB2312" w:hAnsi="仿宋_GB2312" w:cs="仿宋_GB2312"/>
          <w:color w:val="auto"/>
          <w:sz w:val="24"/>
          <w:highlight w:val="none"/>
        </w:rPr>
      </w:pPr>
    </w:p>
    <w:p w14:paraId="43B23A5C">
      <w:pPr>
        <w:adjustRightInd w:val="0"/>
        <w:snapToGrid w:val="0"/>
        <w:spacing w:before="120" w:line="360" w:lineRule="auto"/>
        <w:ind w:left="960"/>
        <w:rPr>
          <w:rFonts w:hint="eastAsia" w:ascii="仿宋_GB2312" w:hAnsi="仿宋_GB2312" w:cs="仿宋_GB2312"/>
          <w:color w:val="auto"/>
          <w:sz w:val="24"/>
          <w:highlight w:val="none"/>
          <w:u w:val="single"/>
        </w:rPr>
      </w:pPr>
      <w:r>
        <w:rPr>
          <w:rFonts w:hint="eastAsia" w:ascii="仿宋_GB2312" w:hAnsi="仿宋_GB2312" w:cs="仿宋_GB2312"/>
          <w:color w:val="auto"/>
          <w:sz w:val="24"/>
          <w:highlight w:val="none"/>
        </w:rPr>
        <w:t>甲    方：</w:t>
      </w:r>
      <w:r>
        <w:rPr>
          <w:rFonts w:hint="eastAsia" w:ascii="仿宋_GB2312" w:hAnsi="仿宋_GB2312" w:cs="仿宋_GB2312"/>
          <w:color w:val="auto"/>
          <w:sz w:val="24"/>
          <w:highlight w:val="none"/>
          <w:u w:val="single"/>
        </w:rPr>
        <w:t xml:space="preserve">  杭州临江环境能源有限公司         </w:t>
      </w:r>
    </w:p>
    <w:p w14:paraId="2775A109">
      <w:pPr>
        <w:adjustRightInd w:val="0"/>
        <w:snapToGrid w:val="0"/>
        <w:spacing w:before="120" w:line="360" w:lineRule="auto"/>
        <w:rPr>
          <w:rFonts w:hint="eastAsia" w:ascii="仿宋_GB2312" w:hAnsi="仿宋_GB2312" w:cs="仿宋_GB2312"/>
          <w:color w:val="auto"/>
          <w:sz w:val="24"/>
          <w:highlight w:val="none"/>
        </w:rPr>
      </w:pPr>
    </w:p>
    <w:p w14:paraId="66AF8B64">
      <w:pPr>
        <w:adjustRightInd w:val="0"/>
        <w:snapToGrid w:val="0"/>
        <w:spacing w:before="120" w:line="360" w:lineRule="auto"/>
        <w:ind w:left="960"/>
        <w:rPr>
          <w:rFonts w:hint="eastAsia" w:ascii="仿宋_GB2312" w:hAnsi="仿宋_GB2312" w:cs="仿宋_GB2312"/>
          <w:color w:val="auto"/>
          <w:sz w:val="24"/>
          <w:highlight w:val="none"/>
          <w:u w:val="single"/>
        </w:rPr>
      </w:pPr>
      <w:r>
        <w:rPr>
          <w:rFonts w:hint="eastAsia" w:ascii="仿宋_GB2312" w:hAnsi="仿宋_GB2312" w:cs="仿宋_GB2312"/>
          <w:color w:val="auto"/>
          <w:sz w:val="24"/>
          <w:highlight w:val="none"/>
        </w:rPr>
        <w:t>乙    方：</w:t>
      </w:r>
      <w:r>
        <w:rPr>
          <w:rFonts w:hint="eastAsia" w:ascii="仿宋_GB2312" w:hAnsi="仿宋_GB2312" w:cs="仿宋_GB2312"/>
          <w:color w:val="auto"/>
          <w:sz w:val="24"/>
          <w:highlight w:val="none"/>
          <w:u w:val="single"/>
        </w:rPr>
        <w:t xml:space="preserve">   ***有限公司                      </w:t>
      </w:r>
    </w:p>
    <w:p w14:paraId="77837336">
      <w:pPr>
        <w:adjustRightInd w:val="0"/>
        <w:snapToGrid w:val="0"/>
        <w:spacing w:before="120" w:line="360" w:lineRule="auto"/>
        <w:rPr>
          <w:rFonts w:hint="eastAsia" w:ascii="仿宋_GB2312" w:hAnsi="仿宋_GB2312" w:cs="仿宋_GB2312"/>
          <w:color w:val="auto"/>
          <w:sz w:val="24"/>
          <w:highlight w:val="none"/>
        </w:rPr>
      </w:pPr>
    </w:p>
    <w:p w14:paraId="08E7D070">
      <w:pPr>
        <w:adjustRightInd w:val="0"/>
        <w:snapToGrid w:val="0"/>
        <w:spacing w:before="120" w:line="360" w:lineRule="auto"/>
        <w:ind w:firstLine="960" w:firstLineChars="400"/>
        <w:rPr>
          <w:rFonts w:hint="eastAsia" w:ascii="仿宋_GB2312" w:hAnsi="仿宋_GB2312" w:cs="仿宋_GB2312"/>
          <w:color w:val="auto"/>
          <w:sz w:val="24"/>
          <w:highlight w:val="none"/>
          <w:u w:val="single"/>
        </w:rPr>
      </w:pPr>
      <w:r>
        <w:rPr>
          <w:rFonts w:hint="eastAsia" w:ascii="仿宋_GB2312" w:hAnsi="仿宋_GB2312" w:cs="仿宋_GB2312"/>
          <w:color w:val="auto"/>
          <w:sz w:val="24"/>
          <w:highlight w:val="none"/>
        </w:rPr>
        <w:t>签订地：</w:t>
      </w:r>
      <w:r>
        <w:rPr>
          <w:rFonts w:hint="eastAsia" w:ascii="仿宋_GB2312" w:hAnsi="仿宋_GB2312" w:cs="仿宋_GB2312"/>
          <w:color w:val="auto"/>
          <w:sz w:val="24"/>
          <w:highlight w:val="none"/>
          <w:u w:val="single"/>
        </w:rPr>
        <w:t xml:space="preserve">   浙江省杭州市钱塘区                </w:t>
      </w:r>
    </w:p>
    <w:p w14:paraId="403408DE">
      <w:pPr>
        <w:adjustRightInd w:val="0"/>
        <w:snapToGrid w:val="0"/>
        <w:spacing w:before="120" w:line="360" w:lineRule="auto"/>
        <w:rPr>
          <w:rFonts w:hint="eastAsia" w:ascii="仿宋_GB2312" w:hAnsi="仿宋_GB2312" w:cs="仿宋_GB2312"/>
          <w:color w:val="auto"/>
          <w:sz w:val="24"/>
          <w:highlight w:val="none"/>
        </w:rPr>
      </w:pPr>
    </w:p>
    <w:p w14:paraId="2744FE9F">
      <w:pPr>
        <w:adjustRightInd w:val="0"/>
        <w:snapToGrid w:val="0"/>
        <w:spacing w:before="120" w:line="360" w:lineRule="auto"/>
        <w:ind w:firstLine="960" w:firstLineChars="400"/>
        <w:rPr>
          <w:rFonts w:hint="eastAsia" w:ascii="仿宋_GB2312" w:hAnsi="仿宋_GB2312" w:cs="仿宋_GB2312"/>
          <w:color w:val="auto"/>
          <w:kern w:val="0"/>
          <w:sz w:val="24"/>
          <w:highlight w:val="none"/>
        </w:rPr>
        <w:sectPr>
          <w:headerReference r:id="rId13" w:type="default"/>
          <w:pgSz w:w="11907" w:h="16840"/>
          <w:pgMar w:top="1474" w:right="1814" w:bottom="1474" w:left="1814" w:header="851" w:footer="851" w:gutter="0"/>
          <w:cols w:space="720" w:num="1"/>
        </w:sectPr>
      </w:pPr>
      <w:r>
        <w:rPr>
          <w:rFonts w:hint="eastAsia" w:ascii="仿宋_GB2312" w:hAnsi="仿宋_GB2312" w:cs="仿宋_GB2312"/>
          <w:color w:val="auto"/>
          <w:sz w:val="24"/>
          <w:highlight w:val="none"/>
        </w:rPr>
        <w:t>签订日期：</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年</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月</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日</w:t>
      </w:r>
    </w:p>
    <w:p w14:paraId="1CE8E8AA">
      <w:pPr>
        <w:pStyle w:val="24"/>
        <w:adjustRightInd w:val="0"/>
        <w:snapToGrid w:val="0"/>
        <w:spacing w:line="360" w:lineRule="auto"/>
        <w:ind w:firstLine="233"/>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目录</w:t>
      </w:r>
    </w:p>
    <w:p w14:paraId="2E327F80">
      <w:pPr>
        <w:pStyle w:val="10"/>
        <w:snapToGrid w:val="0"/>
        <w:ind w:firstLine="232" w:firstLineChars="10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第一章 合同书  …………………………………………………………（页码）</w:t>
      </w:r>
    </w:p>
    <w:p w14:paraId="62521EC0">
      <w:pPr>
        <w:pStyle w:val="10"/>
        <w:snapToGrid w:val="0"/>
        <w:ind w:firstLine="232" w:firstLineChars="10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第二章 合同一般条款……………………………………………………（页码）</w:t>
      </w:r>
    </w:p>
    <w:p w14:paraId="03729002">
      <w:pPr>
        <w:pStyle w:val="10"/>
        <w:snapToGrid w:val="0"/>
        <w:ind w:firstLine="232" w:firstLineChars="10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第三章 安全协议…………………………………………………………（页码）</w:t>
      </w:r>
    </w:p>
    <w:p w14:paraId="5D0B518D">
      <w:pPr>
        <w:pStyle w:val="10"/>
        <w:snapToGrid w:val="0"/>
        <w:ind w:firstLine="232" w:firstLineChars="100"/>
        <w:rPr>
          <w:rFonts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第四章 廉洁协议…………………………………………………………（页码）</w:t>
      </w:r>
    </w:p>
    <w:p w14:paraId="16446A3D">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59AC5BBC">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44481044">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1BA4D9CC">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1E441977">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3591A01B">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2EB7F64A">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62703D7D">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06F3BEA1">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4FE4CE46">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17CA3E94">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44CF83DD">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680295CA">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463964C9">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22DC5D45">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7AF2E945">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53EBE7AA">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1C23384E">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0E33D01F">
      <w:pPr>
        <w:pStyle w:val="9"/>
        <w:adjustRightInd w:val="0"/>
        <w:snapToGrid w:val="0"/>
        <w:spacing w:line="360" w:lineRule="auto"/>
        <w:rPr>
          <w:rFonts w:hint="eastAsia" w:ascii="仿宋_GB2312" w:hAnsi="仿宋_GB2312" w:eastAsia="仿宋_GB2312" w:cs="仿宋_GB2312"/>
          <w:color w:val="auto"/>
          <w:sz w:val="24"/>
          <w:szCs w:val="24"/>
          <w:highlight w:val="none"/>
          <w:lang w:val="zh-CN"/>
        </w:rPr>
      </w:pPr>
    </w:p>
    <w:p w14:paraId="74C3E92F">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1AD5AB8F">
      <w:pPr>
        <w:adjustRightInd w:val="0"/>
        <w:snapToGrid w:val="0"/>
        <w:spacing w:line="360" w:lineRule="auto"/>
        <w:ind w:firstLine="464" w:firstLineChars="200"/>
        <w:rPr>
          <w:rFonts w:hint="eastAsia" w:ascii="仿宋_GB2312" w:hAnsi="仿宋_GB2312" w:cs="仿宋_GB2312"/>
          <w:color w:val="auto"/>
          <w:sz w:val="24"/>
          <w:highlight w:val="none"/>
          <w:u w:val="single"/>
          <w:lang w:val="zh-CN"/>
        </w:rPr>
      </w:pPr>
    </w:p>
    <w:p w14:paraId="12234D9E">
      <w:pPr>
        <w:rPr>
          <w:rFonts w:hint="eastAsia" w:ascii="仿宋_GB2312" w:hAnsi="仿宋_GB2312" w:cs="仿宋_GB2312"/>
          <w:b/>
          <w:color w:val="auto"/>
          <w:sz w:val="24"/>
          <w:highlight w:val="none"/>
        </w:rPr>
      </w:pPr>
      <w:r>
        <w:rPr>
          <w:rFonts w:hint="eastAsia" w:ascii="仿宋_GB2312" w:hAnsi="仿宋_GB2312" w:cs="仿宋_GB2312"/>
          <w:b/>
          <w:color w:val="auto"/>
          <w:sz w:val="24"/>
          <w:highlight w:val="none"/>
        </w:rPr>
        <w:br w:type="page"/>
      </w:r>
    </w:p>
    <w:p w14:paraId="6F655081">
      <w:pPr>
        <w:pStyle w:val="53"/>
        <w:spacing w:line="240" w:lineRule="auto"/>
        <w:ind w:left="0" w:leftChars="0" w:firstLine="0" w:firstLineChars="0"/>
        <w:jc w:val="center"/>
        <w:rPr>
          <w:rFonts w:hint="eastAsia" w:ascii="仿宋_GB2312" w:hAnsi="仿宋_GB2312" w:eastAsia="仿宋_GB2312" w:cs="仿宋_GB2312"/>
          <w:color w:val="auto"/>
          <w:szCs w:val="24"/>
          <w:highlight w:val="none"/>
          <w:u w:val="single"/>
          <w:lang w:val="zh-CN"/>
        </w:rPr>
      </w:pPr>
      <w:r>
        <w:rPr>
          <w:rFonts w:hint="eastAsia" w:ascii="仿宋_GB2312" w:hAnsi="仿宋_GB2312" w:eastAsia="仿宋_GB2312" w:cs="仿宋_GB2312"/>
          <w:b/>
          <w:color w:val="auto"/>
          <w:szCs w:val="24"/>
          <w:highlight w:val="none"/>
        </w:rPr>
        <w:t>第一章 合同书</w:t>
      </w:r>
    </w:p>
    <w:p w14:paraId="1CCE6837">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u w:val="single"/>
          <w:lang w:val="zh-CN"/>
        </w:rPr>
        <w:t xml:space="preserve"> </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u w:val="single"/>
          <w:lang w:val="zh-CN"/>
        </w:rPr>
        <w:t xml:space="preserve">  </w:t>
      </w:r>
      <w:r>
        <w:rPr>
          <w:rFonts w:hint="eastAsia" w:ascii="仿宋_GB2312" w:hAnsi="仿宋_GB2312" w:cs="仿宋_GB2312"/>
          <w:color w:val="auto"/>
          <w:sz w:val="24"/>
          <w:highlight w:val="none"/>
          <w:lang w:val="zh-CN"/>
        </w:rPr>
        <w:t>年</w:t>
      </w:r>
      <w:r>
        <w:rPr>
          <w:rFonts w:hint="eastAsia" w:ascii="仿宋_GB2312" w:hAnsi="仿宋_GB2312" w:cs="仿宋_GB2312"/>
          <w:color w:val="auto"/>
          <w:sz w:val="24"/>
          <w:highlight w:val="none"/>
          <w:u w:val="single"/>
          <w:lang w:val="zh-CN"/>
        </w:rPr>
        <w:t xml:space="preserve"> </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u w:val="single"/>
          <w:lang w:val="zh-CN"/>
        </w:rPr>
        <w:t xml:space="preserve"> </w:t>
      </w:r>
      <w:r>
        <w:rPr>
          <w:rFonts w:hint="eastAsia" w:ascii="仿宋_GB2312" w:hAnsi="仿宋_GB2312" w:cs="仿宋_GB2312"/>
          <w:color w:val="auto"/>
          <w:sz w:val="24"/>
          <w:highlight w:val="none"/>
          <w:lang w:val="zh-CN"/>
        </w:rPr>
        <w:t>月</w:t>
      </w:r>
      <w:r>
        <w:rPr>
          <w:rFonts w:hint="eastAsia" w:ascii="仿宋_GB2312" w:hAnsi="仿宋_GB2312" w:cs="仿宋_GB2312"/>
          <w:color w:val="auto"/>
          <w:sz w:val="24"/>
          <w:highlight w:val="none"/>
          <w:u w:val="single"/>
          <w:lang w:val="zh-CN"/>
        </w:rPr>
        <w:t xml:space="preserve"> </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lang w:val="zh-CN"/>
        </w:rPr>
        <w:t>日</w:t>
      </w:r>
      <w:r>
        <w:rPr>
          <w:rFonts w:hint="eastAsia" w:ascii="仿宋_GB2312" w:hAnsi="仿宋_GB2312" w:cs="仿宋_GB2312"/>
          <w:color w:val="auto"/>
          <w:sz w:val="24"/>
          <w:highlight w:val="none"/>
        </w:rPr>
        <w:t>，</w:t>
      </w:r>
      <w:r>
        <w:rPr>
          <w:rFonts w:hint="eastAsia" w:ascii="仿宋_GB2312" w:hAnsi="仿宋_GB2312" w:cs="仿宋_GB2312"/>
          <w:color w:val="auto"/>
          <w:sz w:val="24"/>
          <w:highlight w:val="none"/>
          <w:u w:val="single"/>
        </w:rPr>
        <w:t xml:space="preserve"> 杭州临江环境能源有限公司</w:t>
      </w:r>
      <w:r>
        <w:rPr>
          <w:rFonts w:hint="eastAsia" w:ascii="仿宋_GB2312" w:hAnsi="仿宋_GB2312" w:cs="仿宋_GB2312"/>
          <w:color w:val="auto"/>
          <w:sz w:val="24"/>
          <w:highlight w:val="none"/>
        </w:rPr>
        <w:t>以</w:t>
      </w:r>
      <w:r>
        <w:rPr>
          <w:rFonts w:hint="eastAsia" w:ascii="仿宋_GB2312" w:hAnsi="仿宋_GB2312" w:cs="仿宋_GB2312"/>
          <w:color w:val="auto"/>
          <w:sz w:val="24"/>
          <w:highlight w:val="none"/>
          <w:u w:val="single"/>
        </w:rPr>
        <w:t xml:space="preserve">  公开招标    </w:t>
      </w:r>
      <w:r>
        <w:rPr>
          <w:rFonts w:hint="eastAsia" w:ascii="仿宋_GB2312" w:hAnsi="仿宋_GB2312" w:cs="仿宋_GB2312"/>
          <w:color w:val="auto"/>
          <w:sz w:val="24"/>
          <w:highlight w:val="none"/>
        </w:rPr>
        <w:t xml:space="preserve">形式对 </w:t>
      </w:r>
      <w:r>
        <w:rPr>
          <w:rFonts w:hint="eastAsia" w:ascii="仿宋_GB2312" w:hAnsi="仿宋_GB2312" w:cs="仿宋_GB2312"/>
          <w:color w:val="auto"/>
          <w:sz w:val="24"/>
          <w:highlight w:val="none"/>
          <w:u w:val="single"/>
        </w:rPr>
        <w:t xml:space="preserve"> 2025年—2028年垃圾吊改造项目   </w:t>
      </w:r>
      <w:r>
        <w:rPr>
          <w:rFonts w:hint="eastAsia" w:ascii="仿宋_GB2312" w:hAnsi="仿宋_GB2312" w:cs="仿宋_GB2312"/>
          <w:color w:val="auto"/>
          <w:sz w:val="24"/>
          <w:highlight w:val="none"/>
        </w:rPr>
        <w:t>项目进行了采购。经</w:t>
      </w:r>
      <w:r>
        <w:rPr>
          <w:rFonts w:hint="eastAsia" w:ascii="仿宋_GB2312" w:hAnsi="仿宋_GB2312" w:cs="仿宋_GB2312"/>
          <w:color w:val="auto"/>
          <w:sz w:val="24"/>
          <w:highlight w:val="none"/>
          <w:u w:val="single"/>
        </w:rPr>
        <w:t xml:space="preserve">  评标委员会  </w:t>
      </w:r>
      <w:r>
        <w:rPr>
          <w:rFonts w:hint="eastAsia" w:ascii="仿宋_GB2312" w:hAnsi="仿宋_GB2312" w:cs="仿宋_GB2312"/>
          <w:color w:val="auto"/>
          <w:sz w:val="24"/>
          <w:highlight w:val="none"/>
        </w:rPr>
        <w:t>评定，</w:t>
      </w:r>
      <w:r>
        <w:rPr>
          <w:rFonts w:hint="eastAsia" w:ascii="仿宋_GB2312" w:hAnsi="仿宋_GB2312" w:cs="仿宋_GB2312"/>
          <w:color w:val="auto"/>
          <w:sz w:val="24"/>
          <w:highlight w:val="none"/>
          <w:u w:val="single"/>
        </w:rPr>
        <w:t xml:space="preserve">   ***有限公司  </w:t>
      </w:r>
      <w:r>
        <w:rPr>
          <w:rFonts w:hint="eastAsia" w:ascii="仿宋_GB2312" w:hAnsi="仿宋_GB2312" w:cs="仿宋_GB2312"/>
          <w:color w:val="auto"/>
          <w:sz w:val="24"/>
          <w:highlight w:val="none"/>
        </w:rPr>
        <w:t>为该项目中标或者成交供应商。现于中标或者成交通知书发出之日起30天内，按照采购文件确定的事项签订本合同。</w:t>
      </w:r>
    </w:p>
    <w:p w14:paraId="3580C97E">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lang w:val="zh-CN"/>
        </w:rPr>
        <w:t>根据《中华人民共和国民法典》等相关法律法规之规定，按照平等、自愿、公平和诚实信用的原则，经</w:t>
      </w:r>
      <w:r>
        <w:rPr>
          <w:rFonts w:hint="eastAsia" w:ascii="仿宋_GB2312" w:hAnsi="仿宋_GB2312" w:cs="仿宋_GB2312"/>
          <w:color w:val="auto"/>
          <w:sz w:val="24"/>
          <w:highlight w:val="none"/>
          <w:u w:val="single"/>
        </w:rPr>
        <w:t xml:space="preserve"> 杭州临江环境能源有限公司 </w:t>
      </w:r>
      <w:r>
        <w:rPr>
          <w:rFonts w:hint="eastAsia" w:ascii="仿宋_GB2312" w:hAnsi="仿宋_GB2312" w:cs="仿宋_GB2312"/>
          <w:color w:val="auto"/>
          <w:sz w:val="24"/>
          <w:highlight w:val="none"/>
        </w:rPr>
        <w:t>（</w:t>
      </w:r>
      <w:r>
        <w:rPr>
          <w:rFonts w:hint="eastAsia" w:ascii="仿宋_GB2312" w:hAnsi="仿宋_GB2312" w:cs="仿宋_GB2312"/>
          <w:color w:val="auto"/>
          <w:sz w:val="24"/>
          <w:highlight w:val="none"/>
          <w:lang w:val="zh-CN"/>
        </w:rPr>
        <w:t>以下简称：甲方）和</w:t>
      </w:r>
      <w:r>
        <w:rPr>
          <w:rFonts w:hint="eastAsia" w:ascii="仿宋_GB2312" w:hAnsi="仿宋_GB2312" w:cs="仿宋_GB2312"/>
          <w:color w:val="auto"/>
          <w:sz w:val="24"/>
          <w:highlight w:val="none"/>
          <w:u w:val="single"/>
        </w:rPr>
        <w:t xml:space="preserve">  ***有限公司 （</w:t>
      </w:r>
      <w:r>
        <w:rPr>
          <w:rFonts w:hint="eastAsia" w:ascii="仿宋_GB2312" w:hAnsi="仿宋_GB2312" w:cs="仿宋_GB2312"/>
          <w:color w:val="auto"/>
          <w:sz w:val="24"/>
          <w:highlight w:val="none"/>
          <w:lang w:val="zh-CN"/>
        </w:rPr>
        <w:t>以下简称：乙方）协商一致，约定以下合同</w:t>
      </w:r>
      <w:r>
        <w:rPr>
          <w:rFonts w:hint="eastAsia" w:ascii="仿宋_GB2312" w:hAnsi="仿宋_GB2312" w:cs="仿宋_GB2312"/>
          <w:color w:val="auto"/>
          <w:sz w:val="24"/>
          <w:highlight w:val="none"/>
        </w:rPr>
        <w:t>条款，以兹共同遵守、全面履行。</w:t>
      </w:r>
    </w:p>
    <w:p w14:paraId="28BEB380">
      <w:pPr>
        <w:adjustRightInd w:val="0"/>
        <w:snapToGrid w:val="0"/>
        <w:spacing w:line="360" w:lineRule="auto"/>
        <w:ind w:firstLine="464" w:firstLineChars="200"/>
        <w:outlineLvl w:val="0"/>
        <w:rPr>
          <w:rFonts w:hint="eastAsia" w:ascii="仿宋_GB2312" w:hAnsi="仿宋_GB2312" w:cs="仿宋_GB2312"/>
          <w:color w:val="auto"/>
          <w:sz w:val="24"/>
          <w:highlight w:val="none"/>
        </w:rPr>
      </w:pPr>
      <w:bookmarkStart w:id="150" w:name="_Toc28855"/>
      <w:bookmarkStart w:id="151" w:name="_Toc15367"/>
      <w:bookmarkStart w:id="152" w:name="_Toc22967"/>
      <w:bookmarkStart w:id="153" w:name="_Toc20421"/>
      <w:bookmarkStart w:id="154" w:name="_Toc19273"/>
      <w:bookmarkStart w:id="155" w:name="_Toc3888"/>
      <w:r>
        <w:rPr>
          <w:rFonts w:hint="eastAsia" w:ascii="仿宋_GB2312" w:hAnsi="仿宋_GB2312" w:cs="仿宋_GB2312"/>
          <w:b/>
          <w:color w:val="auto"/>
          <w:sz w:val="24"/>
          <w:highlight w:val="none"/>
        </w:rPr>
        <w:t>一、 合同组成部分</w:t>
      </w:r>
      <w:bookmarkEnd w:id="150"/>
      <w:bookmarkEnd w:id="151"/>
      <w:bookmarkEnd w:id="152"/>
      <w:bookmarkEnd w:id="153"/>
      <w:bookmarkEnd w:id="154"/>
      <w:bookmarkEnd w:id="155"/>
    </w:p>
    <w:p w14:paraId="36F90F57">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0BCE4E48">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1.本合同及其补充合同、变更协议；</w:t>
      </w:r>
    </w:p>
    <w:p w14:paraId="049DD330">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2.中标或者成交通知书；</w:t>
      </w:r>
    </w:p>
    <w:p w14:paraId="35BB804D">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3.投标或者响应文件（含澄清或者说明文件）；</w:t>
      </w:r>
    </w:p>
    <w:p w14:paraId="7535D5B9">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4.采购文件（含澄清或者修改文件）；</w:t>
      </w:r>
    </w:p>
    <w:p w14:paraId="2D550C8D">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5.其他相关采购文件。</w:t>
      </w:r>
    </w:p>
    <w:p w14:paraId="32CF37E5">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156" w:name="_Toc18585"/>
      <w:bookmarkStart w:id="157" w:name="_Toc22185"/>
      <w:bookmarkStart w:id="158" w:name="_Toc6773"/>
      <w:bookmarkStart w:id="159" w:name="_Toc2918"/>
      <w:bookmarkStart w:id="160" w:name="_Toc6311"/>
      <w:bookmarkStart w:id="161" w:name="_Toc15198"/>
      <w:r>
        <w:rPr>
          <w:rFonts w:hint="eastAsia" w:ascii="仿宋_GB2312" w:hAnsi="仿宋_GB2312" w:cs="仿宋_GB2312"/>
          <w:b/>
          <w:color w:val="auto"/>
          <w:sz w:val="24"/>
          <w:highlight w:val="none"/>
        </w:rPr>
        <w:t>二、合同标的</w:t>
      </w:r>
      <w:bookmarkEnd w:id="156"/>
      <w:bookmarkEnd w:id="157"/>
      <w:bookmarkEnd w:id="158"/>
      <w:bookmarkEnd w:id="159"/>
      <w:bookmarkEnd w:id="160"/>
      <w:r>
        <w:rPr>
          <w:rFonts w:hint="eastAsia" w:ascii="仿宋_GB2312" w:hAnsi="仿宋_GB2312" w:cs="仿宋_GB2312"/>
          <w:b/>
          <w:color w:val="auto"/>
          <w:sz w:val="24"/>
          <w:highlight w:val="none"/>
        </w:rPr>
        <w:t>及价款</w:t>
      </w:r>
      <w:bookmarkEnd w:id="161"/>
    </w:p>
    <w:p w14:paraId="52A00848">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本合同总价（含税）为：￥</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元（大写：</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元人民币），其中服务费￥</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元（大写：</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元人民币），税率为</w:t>
      </w:r>
      <w:r>
        <w:rPr>
          <w:rFonts w:hint="eastAsia" w:ascii="仿宋_GB2312" w:hAnsi="仿宋_GB2312" w:cs="仿宋_GB2312"/>
          <w:color w:val="auto"/>
          <w:sz w:val="24"/>
          <w:highlight w:val="none"/>
          <w:u w:val="single"/>
        </w:rPr>
        <w:t xml:space="preserve"> </w:t>
      </w:r>
      <w:r>
        <w:rPr>
          <w:rFonts w:hint="eastAsia" w:ascii="仿宋_GB2312" w:hAnsi="仿宋_GB2312" w:cs="仿宋_GB2312"/>
          <w:b/>
          <w:bCs/>
          <w:color w:val="auto"/>
          <w:sz w:val="24"/>
          <w:highlight w:val="none"/>
          <w:u w:val="single"/>
        </w:rPr>
        <w:t xml:space="preserve">   </w:t>
      </w:r>
      <w:r>
        <w:rPr>
          <w:rFonts w:hint="eastAsia" w:ascii="仿宋_GB2312" w:hAnsi="仿宋_GB2312" w:cs="仿宋_GB2312"/>
          <w:color w:val="auto"/>
          <w:sz w:val="24"/>
          <w:highlight w:val="none"/>
        </w:rPr>
        <w:t xml:space="preserve"> %；货物￥</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元（大写：</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元人民币），税率为</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 xml:space="preserve"> %。</w:t>
      </w:r>
    </w:p>
    <w:p w14:paraId="606AA5EB">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1.服务费采用以下第</w:t>
      </w:r>
      <w:r>
        <w:rPr>
          <w:rFonts w:hint="eastAsia" w:ascii="仿宋_GB2312" w:hAnsi="仿宋_GB2312" w:cs="仿宋_GB2312"/>
          <w:color w:val="auto"/>
          <w:sz w:val="24"/>
          <w:highlight w:val="none"/>
          <w:u w:val="single"/>
        </w:rPr>
        <w:t xml:space="preserve">   （2）    </w:t>
      </w:r>
      <w:r>
        <w:rPr>
          <w:rFonts w:hint="eastAsia" w:ascii="仿宋_GB2312" w:hAnsi="仿宋_GB2312" w:cs="仿宋_GB2312"/>
          <w:color w:val="auto"/>
          <w:sz w:val="24"/>
          <w:highlight w:val="none"/>
        </w:rPr>
        <w:t>条款规定的计价方式计价。</w:t>
      </w:r>
    </w:p>
    <w:p w14:paraId="766C1A8F">
      <w:pPr>
        <w:adjustRightInd w:val="0"/>
        <w:snapToGrid w:val="0"/>
        <w:spacing w:line="360" w:lineRule="auto"/>
        <w:ind w:firstLine="464" w:firstLineChars="200"/>
        <w:rPr>
          <w:rFonts w:hint="eastAsia" w:ascii="仿宋_GB2312" w:hAnsi="仿宋_GB2312" w:cs="仿宋_GB2312"/>
          <w:color w:val="auto"/>
          <w:sz w:val="24"/>
          <w:highlight w:val="none"/>
          <w:u w:val="single"/>
        </w:rPr>
      </w:pPr>
      <w:r>
        <w:rPr>
          <w:rFonts w:hint="eastAsia" w:ascii="仿宋_GB2312" w:hAnsi="仿宋_GB2312" w:cs="仿宋_GB2312"/>
          <w:color w:val="auto"/>
          <w:sz w:val="24"/>
          <w:highlight w:val="none"/>
        </w:rPr>
        <w:t>（1）总价合同，本合同总价（含税）为：￥</w:t>
      </w:r>
      <w:r>
        <w:rPr>
          <w:rFonts w:hint="eastAsia" w:ascii="仿宋_GB2312" w:hAnsi="仿宋_GB2312" w:cs="仿宋_GB2312"/>
          <w:color w:val="auto"/>
          <w:sz w:val="24"/>
          <w:highlight w:val="none"/>
          <w:u w:val="single"/>
        </w:rPr>
        <w:t xml:space="preserve"> /  </w:t>
      </w:r>
      <w:r>
        <w:rPr>
          <w:rFonts w:hint="eastAsia" w:ascii="仿宋_GB2312" w:hAnsi="仿宋_GB2312" w:cs="仿宋_GB2312"/>
          <w:color w:val="auto"/>
          <w:sz w:val="24"/>
          <w:highlight w:val="none"/>
        </w:rPr>
        <w:t>元（大写：</w:t>
      </w:r>
      <w:r>
        <w:rPr>
          <w:rFonts w:hint="eastAsia" w:ascii="仿宋_GB2312" w:hAnsi="仿宋_GB2312" w:cs="仿宋_GB2312"/>
          <w:color w:val="auto"/>
          <w:sz w:val="24"/>
          <w:highlight w:val="none"/>
          <w:u w:val="single"/>
        </w:rPr>
        <w:t xml:space="preserve">   / </w:t>
      </w:r>
      <w:r>
        <w:rPr>
          <w:rFonts w:hint="eastAsia" w:ascii="仿宋_GB2312" w:hAnsi="仿宋_GB2312" w:cs="仿宋_GB2312"/>
          <w:color w:val="auto"/>
          <w:sz w:val="24"/>
          <w:highlight w:val="none"/>
        </w:rPr>
        <w:t>元人民币），税率为</w:t>
      </w:r>
      <w:r>
        <w:rPr>
          <w:rFonts w:hint="eastAsia" w:ascii="仿宋_GB2312" w:hAnsi="仿宋_GB2312" w:cs="仿宋_GB2312"/>
          <w:color w:val="auto"/>
          <w:sz w:val="24"/>
          <w:highlight w:val="none"/>
          <w:u w:val="single"/>
        </w:rPr>
        <w:t xml:space="preserve">  / </w:t>
      </w:r>
      <w:r>
        <w:rPr>
          <w:rFonts w:hint="eastAsia" w:ascii="仿宋_GB2312" w:hAnsi="仿宋_GB2312" w:cs="仿宋_GB2312"/>
          <w:color w:val="auto"/>
          <w:sz w:val="24"/>
          <w:highlight w:val="none"/>
        </w:rPr>
        <w:t xml:space="preserve"> %，单价和总价中均包括了服务费、材料或者设备费、运费、安装调试费、人工费、税费、杂费、食宿费等所有费用，该价格已包含甲方为履行本合同所需的全部费用，未列明的分项视为优惠，本合同履行中，甲方不再另行支付任何费用。</w:t>
      </w:r>
    </w:p>
    <w:p w14:paraId="2C43D942">
      <w:pPr>
        <w:adjustRightInd w:val="0"/>
        <w:snapToGrid w:val="0"/>
        <w:spacing w:line="360" w:lineRule="auto"/>
        <w:ind w:firstLine="464" w:firstLineChars="200"/>
        <w:rPr>
          <w:rFonts w:hint="eastAsia" w:ascii="仿宋_GB2312" w:hAnsi="仿宋_GB2312" w:cs="仿宋_GB2312"/>
          <w:color w:val="auto"/>
          <w:sz w:val="24"/>
          <w:highlight w:val="none"/>
          <w:u w:val="single"/>
        </w:rPr>
      </w:pPr>
      <w:r>
        <w:rPr>
          <w:rFonts w:hint="eastAsia" w:ascii="仿宋_GB2312" w:hAnsi="仿宋_GB2312" w:cs="仿宋_GB2312"/>
          <w:bCs/>
          <w:color w:val="auto"/>
          <w:sz w:val="24"/>
          <w:highlight w:val="none"/>
        </w:rPr>
        <w:t>（2）单价合同，</w:t>
      </w:r>
      <w:r>
        <w:rPr>
          <w:rFonts w:hint="eastAsia" w:ascii="仿宋_GB2312" w:hAnsi="仿宋_GB2312" w:cs="仿宋_GB2312"/>
          <w:color w:val="auto"/>
          <w:sz w:val="24"/>
          <w:highlight w:val="none"/>
        </w:rPr>
        <w:t>在合同履行期间内，根据实际完成的工作量据实按分项单价结算，但结算总价上限不得超过预算金额或者双方确定的金额￥</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元（大写：</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元人民币），单价和总价中均包括了服务费、材料或者设备费、运费、安装调试费、人工费、税费、杂费、食宿费等所有费用，本合同履行中，甲方不再另行支付任何费用。</w:t>
      </w:r>
    </w:p>
    <w:p w14:paraId="41F295D0">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该分项价格已包含甲方为履行本合同所需的全部费用，未列明的分项视为优惠，本合同履行中，合同单价不作调整，甲方不再另行支付任何费用。分项清单如下： </w:t>
      </w:r>
    </w:p>
    <w:tbl>
      <w:tblPr>
        <w:tblStyle w:val="26"/>
        <w:tblW w:w="9246" w:type="dxa"/>
        <w:tblInd w:w="-93" w:type="dxa"/>
        <w:tblLayout w:type="fixed"/>
        <w:tblCellMar>
          <w:top w:w="0" w:type="dxa"/>
          <w:left w:w="108" w:type="dxa"/>
          <w:bottom w:w="0" w:type="dxa"/>
          <w:right w:w="108" w:type="dxa"/>
        </w:tblCellMar>
      </w:tblPr>
      <w:tblGrid>
        <w:gridCol w:w="767"/>
        <w:gridCol w:w="1976"/>
        <w:gridCol w:w="2133"/>
        <w:gridCol w:w="859"/>
        <w:gridCol w:w="757"/>
        <w:gridCol w:w="1011"/>
        <w:gridCol w:w="931"/>
        <w:gridCol w:w="812"/>
      </w:tblGrid>
      <w:tr w14:paraId="01BC3752">
        <w:tblPrEx>
          <w:tblCellMar>
            <w:top w:w="0" w:type="dxa"/>
            <w:left w:w="108" w:type="dxa"/>
            <w:bottom w:w="0" w:type="dxa"/>
            <w:right w:w="108" w:type="dxa"/>
          </w:tblCellMar>
        </w:tblPrEx>
        <w:trPr>
          <w:trHeight w:val="561"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126A286D">
            <w:pPr>
              <w:widowControl/>
              <w:adjustRightInd w:val="0"/>
              <w:snapToGrid w:val="0"/>
              <w:spacing w:line="360" w:lineRule="auto"/>
              <w:jc w:val="center"/>
              <w:textAlignment w:val="center"/>
              <w:rPr>
                <w:rFonts w:hint="eastAsia" w:ascii="仿宋_GB2312" w:hAnsi="仿宋_GB2312" w:cs="仿宋_GB2312"/>
                <w:color w:val="auto"/>
                <w:sz w:val="24"/>
                <w:highlight w:val="none"/>
              </w:rPr>
            </w:pPr>
            <w:r>
              <w:rPr>
                <w:rFonts w:hint="eastAsia" w:ascii="仿宋_GB2312" w:hAnsi="仿宋_GB2312" w:cs="仿宋_GB2312"/>
                <w:color w:val="auto"/>
                <w:kern w:val="0"/>
                <w:sz w:val="24"/>
                <w:highlight w:val="none"/>
                <w:lang w:bidi="ar"/>
              </w:rPr>
              <w:t>序号</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0D9DAB9A">
            <w:pPr>
              <w:widowControl/>
              <w:adjustRightInd w:val="0"/>
              <w:snapToGrid w:val="0"/>
              <w:spacing w:line="360" w:lineRule="auto"/>
              <w:jc w:val="center"/>
              <w:textAlignment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服务项目</w:t>
            </w:r>
          </w:p>
        </w:tc>
        <w:tc>
          <w:tcPr>
            <w:tcW w:w="2133" w:type="dxa"/>
            <w:tcBorders>
              <w:top w:val="single" w:color="000000" w:sz="4" w:space="0"/>
              <w:left w:val="single" w:color="000000" w:sz="4" w:space="0"/>
              <w:bottom w:val="single" w:color="000000" w:sz="4" w:space="0"/>
              <w:right w:val="single" w:color="000000" w:sz="4" w:space="0"/>
            </w:tcBorders>
            <w:noWrap/>
            <w:vAlign w:val="center"/>
          </w:tcPr>
          <w:p w14:paraId="74CCE9CA">
            <w:pPr>
              <w:widowControl/>
              <w:adjustRightInd w:val="0"/>
              <w:snapToGrid w:val="0"/>
              <w:spacing w:line="360" w:lineRule="auto"/>
              <w:jc w:val="center"/>
              <w:textAlignment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服务</w:t>
            </w:r>
            <w:r>
              <w:rPr>
                <w:rFonts w:hint="eastAsia" w:ascii="仿宋_GB2312" w:hAnsi="仿宋_GB2312" w:cs="仿宋_GB2312"/>
                <w:color w:val="auto"/>
                <w:kern w:val="0"/>
                <w:sz w:val="24"/>
                <w:highlight w:val="none"/>
                <w:lang w:bidi="ar"/>
              </w:rPr>
              <w:t>内容</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431E915">
            <w:pPr>
              <w:widowControl/>
              <w:adjustRightInd w:val="0"/>
              <w:snapToGrid w:val="0"/>
              <w:spacing w:line="360" w:lineRule="auto"/>
              <w:jc w:val="center"/>
              <w:textAlignment w:val="center"/>
              <w:rPr>
                <w:rFonts w:hint="eastAsia" w:ascii="仿宋_GB2312" w:hAnsi="仿宋_GB2312" w:cs="仿宋_GB2312"/>
                <w:color w:val="auto"/>
                <w:sz w:val="24"/>
                <w:highlight w:val="none"/>
              </w:rPr>
            </w:pPr>
            <w:r>
              <w:rPr>
                <w:rFonts w:hint="eastAsia" w:ascii="仿宋_GB2312" w:hAnsi="仿宋_GB2312" w:cs="仿宋_GB2312"/>
                <w:color w:val="auto"/>
                <w:kern w:val="0"/>
                <w:sz w:val="24"/>
                <w:highlight w:val="none"/>
                <w:lang w:bidi="ar"/>
              </w:rPr>
              <w:t>单位</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9C7D0D4">
            <w:pPr>
              <w:widowControl/>
              <w:adjustRightInd w:val="0"/>
              <w:snapToGrid w:val="0"/>
              <w:spacing w:line="360" w:lineRule="auto"/>
              <w:jc w:val="center"/>
              <w:textAlignment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数量</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41A314C8">
            <w:pPr>
              <w:widowControl/>
              <w:adjustRightInd w:val="0"/>
              <w:snapToGrid w:val="0"/>
              <w:spacing w:line="360" w:lineRule="auto"/>
              <w:jc w:val="center"/>
              <w:textAlignment w:val="center"/>
              <w:rPr>
                <w:rFonts w:hint="eastAsia" w:ascii="仿宋_GB2312" w:hAnsi="仿宋_GB2312" w:cs="仿宋_GB2312"/>
                <w:color w:val="auto"/>
                <w:kern w:val="0"/>
                <w:sz w:val="24"/>
                <w:highlight w:val="none"/>
                <w:lang w:bidi="ar"/>
              </w:rPr>
            </w:pPr>
            <w:r>
              <w:rPr>
                <w:rFonts w:hint="eastAsia" w:ascii="仿宋_GB2312" w:hAnsi="仿宋_GB2312" w:cs="仿宋_GB2312"/>
                <w:color w:val="auto"/>
                <w:kern w:val="0"/>
                <w:sz w:val="24"/>
                <w:highlight w:val="none"/>
                <w:lang w:bidi="ar"/>
              </w:rPr>
              <w:t>单价（元</w:t>
            </w:r>
            <w:r>
              <w:rPr>
                <w:rFonts w:hint="eastAsia" w:ascii="仿宋_GB2312" w:hAnsi="仿宋_GB2312" w:cs="仿宋_GB2312"/>
                <w:color w:val="auto"/>
                <w:kern w:val="0"/>
                <w:sz w:val="24"/>
                <w:highlight w:val="none"/>
                <w:lang w:val="en-US" w:eastAsia="zh-CN" w:bidi="ar"/>
              </w:rPr>
              <w:t>/台</w:t>
            </w:r>
            <w:r>
              <w:rPr>
                <w:rFonts w:hint="eastAsia" w:ascii="仿宋_GB2312" w:hAnsi="仿宋_GB2312" w:cs="仿宋_GB2312"/>
                <w:color w:val="auto"/>
                <w:kern w:val="0"/>
                <w:sz w:val="24"/>
                <w:highlight w:val="none"/>
                <w:lang w:bidi="ar"/>
              </w:rPr>
              <w:t>）</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2861063D">
            <w:pPr>
              <w:widowControl/>
              <w:adjustRightInd w:val="0"/>
              <w:snapToGrid w:val="0"/>
              <w:spacing w:line="360" w:lineRule="auto"/>
              <w:jc w:val="center"/>
              <w:textAlignment w:val="center"/>
              <w:rPr>
                <w:rFonts w:hint="eastAsia" w:ascii="仿宋_GB2312" w:hAnsi="仿宋_GB2312" w:cs="仿宋_GB2312"/>
                <w:color w:val="auto"/>
                <w:kern w:val="0"/>
                <w:sz w:val="24"/>
                <w:highlight w:val="none"/>
                <w:lang w:bidi="ar"/>
              </w:rPr>
            </w:pPr>
            <w:r>
              <w:rPr>
                <w:rFonts w:hint="eastAsia" w:ascii="仿宋_GB2312" w:hAnsi="仿宋_GB2312" w:cs="仿宋_GB2312"/>
                <w:color w:val="auto"/>
                <w:kern w:val="0"/>
                <w:sz w:val="24"/>
                <w:highlight w:val="none"/>
                <w:lang w:bidi="ar"/>
              </w:rPr>
              <w:t>金额（元）</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D3913E0">
            <w:pPr>
              <w:widowControl/>
              <w:adjustRightInd w:val="0"/>
              <w:snapToGrid w:val="0"/>
              <w:spacing w:line="360" w:lineRule="auto"/>
              <w:jc w:val="center"/>
              <w:textAlignment w:val="center"/>
              <w:rPr>
                <w:rFonts w:hint="eastAsia" w:ascii="仿宋_GB2312" w:hAnsi="仿宋_GB2312" w:cs="仿宋_GB2312"/>
                <w:color w:val="auto"/>
                <w:kern w:val="0"/>
                <w:sz w:val="24"/>
                <w:highlight w:val="none"/>
                <w:lang w:bidi="ar"/>
              </w:rPr>
            </w:pPr>
            <w:r>
              <w:rPr>
                <w:rFonts w:hint="eastAsia" w:ascii="仿宋_GB2312" w:hAnsi="仿宋_GB2312" w:cs="仿宋_GB2312"/>
                <w:color w:val="auto"/>
                <w:kern w:val="0"/>
                <w:sz w:val="24"/>
                <w:highlight w:val="none"/>
                <w:lang w:bidi="ar"/>
              </w:rPr>
              <w:t>备注</w:t>
            </w:r>
          </w:p>
        </w:tc>
      </w:tr>
      <w:tr w14:paraId="0F4789BD">
        <w:tblPrEx>
          <w:tblCellMar>
            <w:top w:w="0" w:type="dxa"/>
            <w:left w:w="108" w:type="dxa"/>
            <w:bottom w:w="0" w:type="dxa"/>
            <w:right w:w="108" w:type="dxa"/>
          </w:tblCellMar>
        </w:tblPrEx>
        <w:trPr>
          <w:trHeight w:val="414"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2CA2E815">
            <w:pPr>
              <w:widowControl/>
              <w:adjustRightInd w:val="0"/>
              <w:snapToGrid w:val="0"/>
              <w:spacing w:line="360" w:lineRule="auto"/>
              <w:jc w:val="center"/>
              <w:textAlignment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00AE3651">
            <w:pPr>
              <w:widowControl/>
              <w:adjustRightInd w:val="0"/>
              <w:snapToGrid w:val="0"/>
              <w:spacing w:line="360" w:lineRule="auto"/>
              <w:jc w:val="center"/>
              <w:textAlignment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垃圾吊改造服务</w:t>
            </w:r>
          </w:p>
        </w:tc>
        <w:tc>
          <w:tcPr>
            <w:tcW w:w="2133" w:type="dxa"/>
            <w:tcBorders>
              <w:top w:val="single" w:color="000000" w:sz="4" w:space="0"/>
              <w:left w:val="single" w:color="000000" w:sz="4" w:space="0"/>
              <w:bottom w:val="single" w:color="000000" w:sz="4" w:space="0"/>
              <w:right w:val="single" w:color="000000" w:sz="4" w:space="0"/>
            </w:tcBorders>
            <w:noWrap/>
            <w:vAlign w:val="center"/>
          </w:tcPr>
          <w:p w14:paraId="36666CE3">
            <w:pPr>
              <w:widowControl/>
              <w:adjustRightInd w:val="0"/>
              <w:snapToGrid w:val="0"/>
              <w:spacing w:line="360" w:lineRule="auto"/>
              <w:jc w:val="center"/>
              <w:textAlignment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详见招标文件采购需求</w:t>
            </w:r>
          </w:p>
        </w:tc>
        <w:tc>
          <w:tcPr>
            <w:tcW w:w="859" w:type="dxa"/>
            <w:tcBorders>
              <w:top w:val="single" w:color="000000" w:sz="4" w:space="0"/>
              <w:left w:val="single" w:color="000000" w:sz="4" w:space="0"/>
              <w:bottom w:val="single" w:color="000000" w:sz="4" w:space="0"/>
              <w:right w:val="single" w:color="000000" w:sz="4" w:space="0"/>
            </w:tcBorders>
            <w:vAlign w:val="center"/>
          </w:tcPr>
          <w:p w14:paraId="126C016F">
            <w:pPr>
              <w:widowControl/>
              <w:adjustRightInd w:val="0"/>
              <w:snapToGrid w:val="0"/>
              <w:spacing w:line="360" w:lineRule="auto"/>
              <w:jc w:val="center"/>
              <w:textAlignment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台</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47FAA68">
            <w:pPr>
              <w:widowControl/>
              <w:adjustRightInd w:val="0"/>
              <w:snapToGrid w:val="0"/>
              <w:spacing w:line="360" w:lineRule="auto"/>
              <w:jc w:val="center"/>
              <w:textAlignment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40B942A1">
            <w:pPr>
              <w:widowControl/>
              <w:adjustRightInd w:val="0"/>
              <w:snapToGrid w:val="0"/>
              <w:spacing w:line="360" w:lineRule="auto"/>
              <w:jc w:val="center"/>
              <w:textAlignment w:val="center"/>
              <w:rPr>
                <w:rFonts w:hint="eastAsia" w:ascii="仿宋_GB2312" w:hAnsi="仿宋_GB2312" w:cs="仿宋_GB2312"/>
                <w:color w:val="auto"/>
                <w:kern w:val="0"/>
                <w:sz w:val="24"/>
                <w:highlight w:val="none"/>
                <w:lang w:bidi="ar"/>
              </w:rPr>
            </w:pP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1E3DF514">
            <w:pPr>
              <w:widowControl/>
              <w:adjustRightInd w:val="0"/>
              <w:snapToGrid w:val="0"/>
              <w:spacing w:line="360" w:lineRule="auto"/>
              <w:jc w:val="center"/>
              <w:textAlignment w:val="center"/>
              <w:rPr>
                <w:rFonts w:hint="eastAsia" w:ascii="仿宋_GB2312" w:hAnsi="仿宋_GB2312" w:cs="仿宋_GB2312"/>
                <w:color w:val="auto"/>
                <w:kern w:val="0"/>
                <w:sz w:val="24"/>
                <w:highlight w:val="none"/>
                <w:lang w:bidi="ar"/>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49EFCAE5">
            <w:pPr>
              <w:widowControl/>
              <w:adjustRightInd w:val="0"/>
              <w:snapToGrid w:val="0"/>
              <w:spacing w:line="360" w:lineRule="auto"/>
              <w:jc w:val="center"/>
              <w:textAlignment w:val="center"/>
              <w:rPr>
                <w:rFonts w:hint="eastAsia" w:ascii="仿宋_GB2312" w:hAnsi="仿宋_GB2312" w:cs="仿宋_GB2312"/>
                <w:color w:val="auto"/>
                <w:kern w:val="0"/>
                <w:sz w:val="24"/>
                <w:highlight w:val="none"/>
                <w:lang w:bidi="ar"/>
              </w:rPr>
            </w:pPr>
          </w:p>
        </w:tc>
      </w:tr>
    </w:tbl>
    <w:p w14:paraId="467BC345">
      <w:pPr>
        <w:pStyle w:val="54"/>
        <w:adjustRightInd w:val="0"/>
        <w:snapToGrid w:val="0"/>
        <w:spacing w:before="0" w:beforeAutospacing="0" w:after="0" w:afterAutospacing="0" w:line="360" w:lineRule="auto"/>
        <w:ind w:firstLine="464"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2.合同涉及货物</w:t>
      </w:r>
      <w:r>
        <w:rPr>
          <w:rFonts w:hint="eastAsia" w:ascii="仿宋_GB2312" w:hAnsi="仿宋_GB2312" w:eastAsia="仿宋_GB2312" w:cs="仿宋_GB2312"/>
          <w:color w:val="auto"/>
          <w:kern w:val="2"/>
          <w:highlight w:val="none"/>
        </w:rPr>
        <w:t xml:space="preserve">采用以下第 </w:t>
      </w:r>
      <w:r>
        <w:rPr>
          <w:rFonts w:hint="eastAsia" w:ascii="仿宋_GB2312" w:hAnsi="仿宋_GB2312" w:eastAsia="仿宋_GB2312" w:cs="仿宋_GB2312"/>
          <w:color w:val="auto"/>
          <w:kern w:val="2"/>
          <w:highlight w:val="none"/>
          <w:u w:val="single"/>
        </w:rPr>
        <w:t xml:space="preserve">     </w:t>
      </w:r>
      <w:r>
        <w:rPr>
          <w:rFonts w:hint="eastAsia" w:ascii="仿宋_GB2312" w:hAnsi="仿宋_GB2312" w:eastAsia="仿宋_GB2312" w:cs="仿宋_GB2312"/>
          <w:color w:val="auto"/>
          <w:kern w:val="2"/>
          <w:highlight w:val="none"/>
        </w:rPr>
        <w:t>条款规定的计价方式计价。</w:t>
      </w:r>
    </w:p>
    <w:p w14:paraId="14FEFCF8">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总价合同，单价和总价中均包括了设备费、材料费、运费、安装调试费、人工费、服务费、税金、杂费等所有费用，该价格已包含甲方为履行本合同所需的全部费用，未列明的分项视为优惠，本合同履行中，甲方不再另行支付货物的任何费用。</w:t>
      </w:r>
    </w:p>
    <w:p w14:paraId="153B73D6">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（2）单价合同，</w:t>
      </w:r>
      <w:r>
        <w:rPr>
          <w:rFonts w:hint="eastAsia" w:ascii="仿宋_GB2312" w:hAnsi="仿宋_GB2312" w:cs="仿宋_GB2312"/>
          <w:color w:val="auto"/>
          <w:sz w:val="24"/>
          <w:highlight w:val="none"/>
          <w:u w:val="single"/>
        </w:rPr>
        <w:t>按需更换、按实结算，货物总额控制</w:t>
      </w:r>
      <w:r>
        <w:rPr>
          <w:rFonts w:hint="eastAsia" w:ascii="仿宋_GB2312" w:hAnsi="仿宋_GB2312" w:cs="仿宋_GB2312"/>
          <w:color w:val="auto"/>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分项价格如下：</w:t>
      </w:r>
    </w:p>
    <w:tbl>
      <w:tblPr>
        <w:tblStyle w:val="26"/>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728F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vAlign w:val="center"/>
          </w:tcPr>
          <w:p w14:paraId="24D7A5FF">
            <w:pPr>
              <w:adjustRightInd w:val="0"/>
              <w:snapToGrid w:val="0"/>
              <w:spacing w:line="360" w:lineRule="auto"/>
              <w:jc w:val="center"/>
              <w:rPr>
                <w:rFonts w:hint="eastAsia" w:ascii="仿宋_GB2312" w:hAnsi="仿宋_GB2312" w:cs="仿宋_GB2312"/>
                <w:color w:val="auto"/>
                <w:sz w:val="24"/>
                <w:highlight w:val="none"/>
              </w:rPr>
            </w:pPr>
            <w:bookmarkStart w:id="162" w:name="_Toc21124"/>
            <w:bookmarkStart w:id="163" w:name="_Toc1386"/>
            <w:bookmarkStart w:id="164" w:name="_Toc5635"/>
            <w:bookmarkStart w:id="165" w:name="_Toc13918"/>
            <w:bookmarkStart w:id="166" w:name="_Toc4929"/>
            <w:r>
              <w:rPr>
                <w:rFonts w:hint="eastAsia" w:ascii="仿宋_GB2312" w:hAnsi="仿宋_GB2312" w:cs="仿宋_GB2312"/>
                <w:color w:val="auto"/>
                <w:sz w:val="24"/>
                <w:highlight w:val="none"/>
              </w:rPr>
              <w:t>序号</w:t>
            </w:r>
          </w:p>
        </w:tc>
        <w:tc>
          <w:tcPr>
            <w:tcW w:w="1171" w:type="dxa"/>
            <w:vAlign w:val="center"/>
          </w:tcPr>
          <w:p w14:paraId="0007E588">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货物名称</w:t>
            </w:r>
          </w:p>
        </w:tc>
        <w:tc>
          <w:tcPr>
            <w:tcW w:w="1629" w:type="dxa"/>
            <w:vAlign w:val="center"/>
          </w:tcPr>
          <w:p w14:paraId="49FD473B">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规格型号/技术要求</w:t>
            </w:r>
          </w:p>
        </w:tc>
        <w:tc>
          <w:tcPr>
            <w:tcW w:w="1440" w:type="dxa"/>
            <w:vAlign w:val="center"/>
          </w:tcPr>
          <w:p w14:paraId="14A27E73">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品牌/制造商</w:t>
            </w:r>
          </w:p>
        </w:tc>
        <w:tc>
          <w:tcPr>
            <w:tcW w:w="1051" w:type="dxa"/>
            <w:vAlign w:val="center"/>
          </w:tcPr>
          <w:p w14:paraId="38D9C4FD">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暂定数量</w:t>
            </w:r>
          </w:p>
        </w:tc>
        <w:tc>
          <w:tcPr>
            <w:tcW w:w="819" w:type="dxa"/>
            <w:vAlign w:val="center"/>
          </w:tcPr>
          <w:p w14:paraId="1566F521">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单价</w:t>
            </w:r>
          </w:p>
        </w:tc>
        <w:tc>
          <w:tcPr>
            <w:tcW w:w="865" w:type="dxa"/>
            <w:vAlign w:val="center"/>
          </w:tcPr>
          <w:p w14:paraId="29D6B6F3">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金额</w:t>
            </w:r>
          </w:p>
        </w:tc>
        <w:tc>
          <w:tcPr>
            <w:tcW w:w="1432" w:type="dxa"/>
            <w:vAlign w:val="center"/>
          </w:tcPr>
          <w:p w14:paraId="2D355874">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备注</w:t>
            </w:r>
          </w:p>
        </w:tc>
      </w:tr>
      <w:tr w14:paraId="01AF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vAlign w:val="center"/>
          </w:tcPr>
          <w:p w14:paraId="77156088">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w:t>
            </w:r>
          </w:p>
        </w:tc>
        <w:tc>
          <w:tcPr>
            <w:tcW w:w="1171" w:type="dxa"/>
            <w:vAlign w:val="center"/>
          </w:tcPr>
          <w:p w14:paraId="0A252C08">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w:t>
            </w:r>
          </w:p>
        </w:tc>
        <w:tc>
          <w:tcPr>
            <w:tcW w:w="1629" w:type="dxa"/>
            <w:vAlign w:val="center"/>
          </w:tcPr>
          <w:p w14:paraId="4F16F4AA">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w:t>
            </w:r>
          </w:p>
        </w:tc>
        <w:tc>
          <w:tcPr>
            <w:tcW w:w="1440" w:type="dxa"/>
            <w:vAlign w:val="center"/>
          </w:tcPr>
          <w:p w14:paraId="3EB4FBB8">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w:t>
            </w:r>
          </w:p>
        </w:tc>
        <w:tc>
          <w:tcPr>
            <w:tcW w:w="1051" w:type="dxa"/>
            <w:vAlign w:val="center"/>
          </w:tcPr>
          <w:p w14:paraId="40299324">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w:t>
            </w:r>
          </w:p>
        </w:tc>
        <w:tc>
          <w:tcPr>
            <w:tcW w:w="819" w:type="dxa"/>
            <w:vAlign w:val="center"/>
          </w:tcPr>
          <w:p w14:paraId="15FEA8FE">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w:t>
            </w:r>
          </w:p>
        </w:tc>
        <w:tc>
          <w:tcPr>
            <w:tcW w:w="865" w:type="dxa"/>
            <w:vAlign w:val="center"/>
          </w:tcPr>
          <w:p w14:paraId="65A5D4BD">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w:t>
            </w:r>
          </w:p>
        </w:tc>
        <w:tc>
          <w:tcPr>
            <w:tcW w:w="1432" w:type="dxa"/>
            <w:vAlign w:val="center"/>
          </w:tcPr>
          <w:p w14:paraId="25DF46E8">
            <w:pPr>
              <w:adjustRightInd w:val="0"/>
              <w:snapToGrid w:val="0"/>
              <w:spacing w:line="36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w:t>
            </w:r>
          </w:p>
        </w:tc>
      </w:tr>
      <w:bookmarkEnd w:id="162"/>
      <w:bookmarkEnd w:id="163"/>
      <w:bookmarkEnd w:id="164"/>
      <w:bookmarkEnd w:id="165"/>
      <w:bookmarkEnd w:id="166"/>
    </w:tbl>
    <w:p w14:paraId="549DCEAE">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167" w:name="_Toc7012"/>
      <w:bookmarkStart w:id="168" w:name="_Toc22618"/>
      <w:bookmarkStart w:id="169" w:name="_Toc10340"/>
      <w:bookmarkStart w:id="170" w:name="_Toc1814"/>
      <w:bookmarkStart w:id="171" w:name="_Toc31421"/>
      <w:bookmarkStart w:id="172" w:name="_Toc8772"/>
      <w:bookmarkStart w:id="173" w:name="_Toc3625"/>
      <w:bookmarkStart w:id="174" w:name="_Toc4760"/>
      <w:bookmarkStart w:id="175" w:name="_Toc11108"/>
      <w:r>
        <w:rPr>
          <w:rFonts w:hint="eastAsia" w:ascii="仿宋_GB2312" w:hAnsi="仿宋_GB2312" w:cs="仿宋_GB2312"/>
          <w:b/>
          <w:color w:val="auto"/>
          <w:sz w:val="24"/>
          <w:highlight w:val="none"/>
        </w:rPr>
        <w:t>三、合同服务期限、地点、联系方式、交付方式</w:t>
      </w:r>
      <w:bookmarkEnd w:id="167"/>
    </w:p>
    <w:p w14:paraId="450EDABB">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1.合同服务期限： </w:t>
      </w:r>
      <w:r>
        <w:rPr>
          <w:rFonts w:hint="eastAsia" w:ascii="仿宋_GB2312" w:hAnsi="仿宋_GB2312" w:cs="仿宋_GB2312"/>
          <w:color w:val="auto"/>
          <w:sz w:val="24"/>
          <w:highlight w:val="none"/>
          <w:u w:val="single"/>
        </w:rPr>
        <w:t>自合同签订后4年，4年内根据甲方计划逐台完成6台垃圾吊改造，每台改造期限自甲方通知起90天内完成</w:t>
      </w:r>
      <w:r>
        <w:rPr>
          <w:rFonts w:hint="eastAsia" w:ascii="仿宋_GB2312" w:hAnsi="仿宋_GB2312" w:cs="仿宋_GB2312"/>
          <w:color w:val="auto"/>
          <w:sz w:val="24"/>
          <w:highlight w:val="none"/>
        </w:rPr>
        <w:t>。</w:t>
      </w:r>
    </w:p>
    <w:p w14:paraId="65EA0987">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2.服务交付（实施）的地点（地域范围）：</w:t>
      </w:r>
      <w:r>
        <w:rPr>
          <w:rFonts w:hint="eastAsia" w:ascii="仿宋_GB2312" w:hAnsi="仿宋_GB2312" w:cs="仿宋_GB2312"/>
          <w:b/>
          <w:i/>
          <w:color w:val="auto"/>
          <w:sz w:val="24"/>
          <w:highlight w:val="none"/>
        </w:rPr>
        <w:t xml:space="preserve"> </w:t>
      </w:r>
      <w:r>
        <w:rPr>
          <w:rFonts w:hint="eastAsia" w:ascii="仿宋_GB2312" w:hAnsi="仿宋_GB2312" w:cs="仿宋_GB2312"/>
          <w:b/>
          <w:iCs/>
          <w:color w:val="auto"/>
          <w:sz w:val="24"/>
          <w:highlight w:val="none"/>
        </w:rPr>
        <w:t xml:space="preserve">浙江省杭州市钱塘区临江街道红十五路10388-123号，杭州临江环境能源有限公司厂区内 </w:t>
      </w:r>
      <w:r>
        <w:rPr>
          <w:rFonts w:hint="eastAsia" w:ascii="仿宋_GB2312" w:hAnsi="仿宋_GB2312" w:cs="仿宋_GB2312"/>
          <w:iCs/>
          <w:color w:val="auto"/>
          <w:sz w:val="24"/>
          <w:highlight w:val="none"/>
        </w:rPr>
        <w:t>；</w:t>
      </w:r>
    </w:p>
    <w:p w14:paraId="5E7C78D3">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3.服务交付（实施）的方式：</w:t>
      </w:r>
      <w:r>
        <w:rPr>
          <w:rFonts w:hint="eastAsia" w:ascii="仿宋_GB2312" w:hAnsi="仿宋_GB2312" w:cs="仿宋_GB2312"/>
          <w:b/>
          <w:i/>
          <w:color w:val="auto"/>
          <w:sz w:val="24"/>
          <w:highlight w:val="none"/>
          <w:u w:val="single"/>
        </w:rPr>
        <w:t xml:space="preserve">  </w:t>
      </w:r>
      <w:r>
        <w:rPr>
          <w:rFonts w:hint="eastAsia" w:ascii="仿宋_GB2312" w:hAnsi="仿宋_GB2312" w:cs="仿宋_GB2312"/>
          <w:b/>
          <w:iCs/>
          <w:color w:val="auto"/>
          <w:sz w:val="24"/>
          <w:highlight w:val="none"/>
          <w:u w:val="single"/>
        </w:rPr>
        <w:t xml:space="preserve">        </w:t>
      </w:r>
      <w:r>
        <w:rPr>
          <w:rFonts w:hint="eastAsia" w:ascii="仿宋_GB2312" w:hAnsi="仿宋_GB2312" w:cs="仿宋_GB2312"/>
          <w:b/>
          <w:i/>
          <w:color w:val="auto"/>
          <w:sz w:val="24"/>
          <w:highlight w:val="none"/>
          <w:u w:val="single"/>
        </w:rPr>
        <w:t xml:space="preserve">  </w:t>
      </w:r>
      <w:r>
        <w:rPr>
          <w:rFonts w:hint="eastAsia" w:ascii="仿宋_GB2312" w:hAnsi="仿宋_GB2312" w:cs="仿宋_GB2312"/>
          <w:color w:val="auto"/>
          <w:sz w:val="24"/>
          <w:highlight w:val="none"/>
        </w:rPr>
        <w:t>。</w:t>
      </w:r>
    </w:p>
    <w:p w14:paraId="68342F5C">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4.交付甲方联系人及联系方式：</w:t>
      </w:r>
      <w:r>
        <w:rPr>
          <w:rFonts w:hint="eastAsia" w:ascii="仿宋_GB2312" w:hAnsi="仿宋_GB2312" w:cs="仿宋_GB2312"/>
          <w:color w:val="auto"/>
          <w:sz w:val="24"/>
          <w:highlight w:val="none"/>
          <w:u w:val="single"/>
        </w:rPr>
        <w:t xml:space="preserve">      ；</w:t>
      </w:r>
    </w:p>
    <w:p w14:paraId="3509CE2A">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5.乙方联系人及联系方式：</w:t>
      </w:r>
      <w:r>
        <w:rPr>
          <w:rFonts w:hint="eastAsia" w:ascii="仿宋_GB2312" w:hAnsi="仿宋_GB2312" w:cs="仿宋_GB2312"/>
          <w:color w:val="auto"/>
          <w:sz w:val="24"/>
          <w:highlight w:val="none"/>
          <w:u w:val="single"/>
        </w:rPr>
        <w:t xml:space="preserve">         ；</w:t>
      </w:r>
    </w:p>
    <w:p w14:paraId="5436F0C1">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四、质量和服务要求</w:t>
      </w:r>
    </w:p>
    <w:p w14:paraId="5ABF1199">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1.根据甲方要求按时、按质、按量完成服务，履行合同义务。</w:t>
      </w:r>
    </w:p>
    <w:p w14:paraId="6F131397">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bookmarkStart w:id="176" w:name="_Toc6596"/>
      <w:bookmarkStart w:id="177" w:name="_Toc14563"/>
      <w:bookmarkStart w:id="178" w:name="_Toc1125"/>
      <w:r>
        <w:rPr>
          <w:rFonts w:hint="eastAsia" w:ascii="仿宋_GB2312" w:hAnsi="仿宋_GB2312" w:cs="仿宋_GB2312"/>
          <w:color w:val="auto"/>
          <w:sz w:val="24"/>
          <w:highlight w:val="none"/>
        </w:rPr>
        <w:t>2.乙方需提交完整改造方案，</w:t>
      </w:r>
      <w:r>
        <w:rPr>
          <w:rFonts w:hint="eastAsia" w:ascii="仿宋_GB2312" w:hAnsi="仿宋_GB2312" w:cs="仿宋_GB2312"/>
          <w:color w:val="auto"/>
          <w:sz w:val="24"/>
          <w:highlight w:val="none"/>
          <w:lang w:val="en-US" w:eastAsia="zh-CN"/>
        </w:rPr>
        <w:t>经</w:t>
      </w:r>
      <w:r>
        <w:rPr>
          <w:rFonts w:hint="eastAsia" w:ascii="仿宋_GB2312" w:hAnsi="仿宋_GB2312" w:cs="仿宋_GB2312"/>
          <w:color w:val="auto"/>
          <w:sz w:val="24"/>
          <w:highlight w:val="none"/>
        </w:rPr>
        <w:t>甲方</w:t>
      </w:r>
      <w:r>
        <w:rPr>
          <w:rFonts w:hint="eastAsia" w:ascii="仿宋_GB2312" w:hAnsi="仿宋_GB2312" w:cs="仿宋_GB2312"/>
          <w:color w:val="auto"/>
          <w:sz w:val="24"/>
          <w:highlight w:val="none"/>
          <w:lang w:val="en-US" w:eastAsia="zh-CN"/>
        </w:rPr>
        <w:t>同意</w:t>
      </w:r>
      <w:r>
        <w:rPr>
          <w:rFonts w:hint="eastAsia" w:ascii="仿宋_GB2312" w:hAnsi="仿宋_GB2312" w:cs="仿宋_GB2312"/>
          <w:color w:val="auto"/>
          <w:sz w:val="24"/>
          <w:highlight w:val="none"/>
        </w:rPr>
        <w:t>后予以实施，若甲方认为需要优化改造方案的，乙方应予以配合调整。乙方应提前通知甲方垃圾吊改造的关键节点，甲方可根据实际情况选择是否参与见证或监造。</w:t>
      </w:r>
    </w:p>
    <w:p w14:paraId="49E36F1B">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为保障垃圾吊改造时行车正常使用，以及原变频器与新备件进行联调联试，乙方需提供一套应急保障变频器，在每台垃圾吊改造之前，用应急保障变频器替换原有变频器，改造完成后由乙方自行拆除撤场。应急保障变频器要求质量可靠，变频器性能基本要求如下：</w:t>
      </w:r>
    </w:p>
    <w:p w14:paraId="352A4456">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（1）整流回馈单元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140"/>
      </w:tblGrid>
      <w:tr w14:paraId="065A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539" w:type="dxa"/>
          </w:tcPr>
          <w:p w14:paraId="318C75CE">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项目</w:t>
            </w:r>
          </w:p>
        </w:tc>
        <w:tc>
          <w:tcPr>
            <w:tcW w:w="4140" w:type="dxa"/>
          </w:tcPr>
          <w:p w14:paraId="74901C26">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参数</w:t>
            </w:r>
          </w:p>
        </w:tc>
      </w:tr>
      <w:tr w14:paraId="21B6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539" w:type="dxa"/>
          </w:tcPr>
          <w:p w14:paraId="5C311416">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输入电压</w:t>
            </w:r>
          </w:p>
        </w:tc>
        <w:tc>
          <w:tcPr>
            <w:tcW w:w="4140" w:type="dxa"/>
          </w:tcPr>
          <w:p w14:paraId="61DC888D">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380-480VAC</w:t>
            </w:r>
          </w:p>
        </w:tc>
      </w:tr>
      <w:tr w14:paraId="273E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539" w:type="dxa"/>
          </w:tcPr>
          <w:p w14:paraId="70F127E4">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输入频率</w:t>
            </w:r>
          </w:p>
        </w:tc>
        <w:tc>
          <w:tcPr>
            <w:tcW w:w="4140" w:type="dxa"/>
          </w:tcPr>
          <w:p w14:paraId="6E9455E1">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(50~60Hz)±6%</w:t>
            </w:r>
          </w:p>
        </w:tc>
      </w:tr>
      <w:tr w14:paraId="693B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539" w:type="dxa"/>
          </w:tcPr>
          <w:p w14:paraId="1291D31E">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输出电压</w:t>
            </w:r>
          </w:p>
        </w:tc>
        <w:tc>
          <w:tcPr>
            <w:tcW w:w="4140" w:type="dxa"/>
          </w:tcPr>
          <w:p w14:paraId="7F5CCE95">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410-780VDC可调</w:t>
            </w:r>
          </w:p>
        </w:tc>
      </w:tr>
      <w:tr w14:paraId="4CF7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539" w:type="dxa"/>
          </w:tcPr>
          <w:p w14:paraId="2C091D05">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过载能力</w:t>
            </w:r>
          </w:p>
        </w:tc>
        <w:tc>
          <w:tcPr>
            <w:tcW w:w="4140" w:type="dxa"/>
          </w:tcPr>
          <w:p w14:paraId="74AB14B7">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150%过载60s</w:t>
            </w:r>
          </w:p>
        </w:tc>
      </w:tr>
      <w:tr w14:paraId="10E6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539" w:type="dxa"/>
          </w:tcPr>
          <w:p w14:paraId="5B9DE32A">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工作效率</w:t>
            </w:r>
          </w:p>
        </w:tc>
        <w:tc>
          <w:tcPr>
            <w:tcW w:w="4140" w:type="dxa"/>
          </w:tcPr>
          <w:p w14:paraId="5320B738">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&gt;99%</w:t>
            </w:r>
          </w:p>
        </w:tc>
      </w:tr>
      <w:tr w14:paraId="592E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539" w:type="dxa"/>
          </w:tcPr>
          <w:p w14:paraId="6E48397D">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保护功能</w:t>
            </w:r>
          </w:p>
        </w:tc>
        <w:tc>
          <w:tcPr>
            <w:tcW w:w="4140" w:type="dxa"/>
          </w:tcPr>
          <w:p w14:paraId="63D259AF">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过热、联锁、软起等</w:t>
            </w:r>
          </w:p>
        </w:tc>
      </w:tr>
    </w:tbl>
    <w:p w14:paraId="5BB9A282">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（2）逆变单元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4230"/>
      </w:tblGrid>
      <w:tr w14:paraId="30CE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89" w:type="dxa"/>
          </w:tcPr>
          <w:p w14:paraId="7B9C4B29">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项目</w:t>
            </w:r>
          </w:p>
        </w:tc>
        <w:tc>
          <w:tcPr>
            <w:tcW w:w="4230" w:type="dxa"/>
          </w:tcPr>
          <w:p w14:paraId="35FC605A">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参数</w:t>
            </w:r>
          </w:p>
        </w:tc>
      </w:tr>
      <w:tr w14:paraId="2E22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89" w:type="dxa"/>
          </w:tcPr>
          <w:p w14:paraId="084877D8">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输入电压</w:t>
            </w:r>
          </w:p>
        </w:tc>
        <w:tc>
          <w:tcPr>
            <w:tcW w:w="4230" w:type="dxa"/>
          </w:tcPr>
          <w:p w14:paraId="5F2A55DC">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410VDC-780VDC</w:t>
            </w:r>
          </w:p>
        </w:tc>
      </w:tr>
      <w:tr w14:paraId="5DD8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89" w:type="dxa"/>
          </w:tcPr>
          <w:p w14:paraId="0A0D1476">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输出电压</w:t>
            </w:r>
          </w:p>
        </w:tc>
        <w:tc>
          <w:tcPr>
            <w:tcW w:w="4230" w:type="dxa"/>
          </w:tcPr>
          <w:p w14:paraId="32D69B2E">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300-551VAC</w:t>
            </w:r>
          </w:p>
        </w:tc>
      </w:tr>
      <w:tr w14:paraId="7294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89" w:type="dxa"/>
          </w:tcPr>
          <w:p w14:paraId="55708D1B">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输出频率</w:t>
            </w:r>
          </w:p>
        </w:tc>
        <w:tc>
          <w:tcPr>
            <w:tcW w:w="4230" w:type="dxa"/>
          </w:tcPr>
          <w:p w14:paraId="59E22A8F">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0-500Hz</w:t>
            </w:r>
          </w:p>
        </w:tc>
      </w:tr>
      <w:tr w14:paraId="4036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89" w:type="dxa"/>
          </w:tcPr>
          <w:p w14:paraId="56C15515">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调速范围</w:t>
            </w:r>
          </w:p>
        </w:tc>
        <w:tc>
          <w:tcPr>
            <w:tcW w:w="4230" w:type="dxa"/>
          </w:tcPr>
          <w:p w14:paraId="51E9E1F7">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1:1000</w:t>
            </w:r>
          </w:p>
        </w:tc>
      </w:tr>
      <w:tr w14:paraId="0E02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89" w:type="dxa"/>
          </w:tcPr>
          <w:p w14:paraId="0BFAA201">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稳速精度</w:t>
            </w:r>
          </w:p>
        </w:tc>
        <w:tc>
          <w:tcPr>
            <w:tcW w:w="4230" w:type="dxa"/>
          </w:tcPr>
          <w:p w14:paraId="2925AC0C">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≥0.01%</w:t>
            </w:r>
          </w:p>
        </w:tc>
      </w:tr>
      <w:tr w14:paraId="14E5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89" w:type="dxa"/>
          </w:tcPr>
          <w:p w14:paraId="0F9E21B7">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启动转矩</w:t>
            </w:r>
          </w:p>
        </w:tc>
        <w:tc>
          <w:tcPr>
            <w:tcW w:w="4230" w:type="dxa"/>
          </w:tcPr>
          <w:p w14:paraId="408023DA">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≥200%(0Hz)</w:t>
            </w:r>
          </w:p>
        </w:tc>
      </w:tr>
      <w:tr w14:paraId="129A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89" w:type="dxa"/>
          </w:tcPr>
          <w:p w14:paraId="38A9070A">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转矩响应时间</w:t>
            </w:r>
          </w:p>
        </w:tc>
        <w:tc>
          <w:tcPr>
            <w:tcW w:w="4230" w:type="dxa"/>
          </w:tcPr>
          <w:p w14:paraId="477FEBAA">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≤5ms</w:t>
            </w:r>
          </w:p>
        </w:tc>
      </w:tr>
      <w:tr w14:paraId="5797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89" w:type="dxa"/>
          </w:tcPr>
          <w:p w14:paraId="5E844D6D">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过载能力</w:t>
            </w:r>
          </w:p>
        </w:tc>
        <w:tc>
          <w:tcPr>
            <w:tcW w:w="4230" w:type="dxa"/>
          </w:tcPr>
          <w:p w14:paraId="149B47E9">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150%过载60s</w:t>
            </w:r>
          </w:p>
        </w:tc>
      </w:tr>
    </w:tbl>
    <w:p w14:paraId="72501AF2">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乙方须对垃圾吊改造所有硬件出厂前进行联调联试，应将PLC系统、联动台、变频器、触摸屏等部件先行组装测试，确保通讯及控制功能正常。乙方须严格执行各环节的检验和试验，并随货提供各过程的检验记录和检验报告。经甲方技术人员功能验收确认后再发往甲方现场。</w:t>
      </w:r>
    </w:p>
    <w:p w14:paraId="0626B91E">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5.硬件到达现场后，乙方将硬件再次组装测试，双方再次确认无误后方可开始改造，要求在8小时内改造后垃圾吊系统可紧急使用，24小时内可恢复硬件保护限位。</w:t>
      </w:r>
    </w:p>
    <w:p w14:paraId="1698697A">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6.乙方拆除及安装需按照方案进行，与改造方案不相符的情况须及时告知甲方，甲方确认后方可继续。</w:t>
      </w:r>
    </w:p>
    <w:p w14:paraId="70131BEC">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7.单台垃圾吊改造完成后，甲方组织控制系统传动试验，用于模拟垃圾吊操作，实验合格后方可验收。</w:t>
      </w:r>
    </w:p>
    <w:p w14:paraId="28232C30">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9.乙方根据双方确认后的改造方案、作业指导书和垃圾吊图纸、说明书进行改造。改造过程中的改造资料整理、改造总结编制符合甲方要求，接受甲方技术人员的验收，不合格内容须及时整改，实现闭环。</w:t>
      </w:r>
    </w:p>
    <w:p w14:paraId="6863063A">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10.改造时出现问题，2小时内给出解决方案，12小时内到场解决；</w:t>
      </w:r>
    </w:p>
    <w:p w14:paraId="39F2C247">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11.改造期间不得影响其他垃圾吊正常运行。改造过程中如遇其他垃圾吊故障等突发情况，乙方接到甲方通知两个小时内能恢复使用。</w:t>
      </w:r>
    </w:p>
    <w:p w14:paraId="3113E427">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12.垃圾吊改造期间，乙方人员食宿自理。</w:t>
      </w:r>
    </w:p>
    <w:p w14:paraId="023C8BDA">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lang w:val="en-US" w:eastAsia="zh-CN"/>
        </w:rPr>
        <w:t>13.乙方</w:t>
      </w:r>
      <w:r>
        <w:rPr>
          <w:rFonts w:hint="eastAsia" w:ascii="仿宋_GB2312" w:hAnsi="仿宋_GB2312" w:cs="仿宋_GB2312"/>
          <w:color w:val="auto"/>
          <w:sz w:val="24"/>
          <w:highlight w:val="none"/>
        </w:rPr>
        <w:t>对进入设备内部作业人员安全负有全部责任，</w:t>
      </w:r>
      <w:r>
        <w:rPr>
          <w:rFonts w:hint="eastAsia" w:ascii="仿宋_GB2312" w:hAnsi="仿宋_GB2312" w:cs="仿宋_GB2312"/>
          <w:color w:val="auto"/>
          <w:sz w:val="24"/>
          <w:highlight w:val="none"/>
          <w:lang w:val="en-US" w:eastAsia="zh-CN"/>
        </w:rPr>
        <w:t>乙方进厂作业前</w:t>
      </w:r>
      <w:r>
        <w:rPr>
          <w:rFonts w:hint="eastAsia" w:ascii="仿宋_GB2312" w:hAnsi="仿宋_GB2312" w:cs="仿宋_GB2312"/>
          <w:color w:val="auto"/>
          <w:sz w:val="24"/>
          <w:highlight w:val="none"/>
        </w:rPr>
        <w:t>须为工作人员购买保险，如工伤保险、意外保险等，具体由</w:t>
      </w:r>
      <w:r>
        <w:rPr>
          <w:rFonts w:hint="eastAsia" w:ascii="仿宋_GB2312" w:hAnsi="仿宋_GB2312" w:cs="仿宋_GB2312"/>
          <w:color w:val="auto"/>
          <w:sz w:val="24"/>
          <w:highlight w:val="none"/>
          <w:lang w:val="en-US" w:eastAsia="zh-CN"/>
        </w:rPr>
        <w:t>乙方</w:t>
      </w:r>
      <w:r>
        <w:rPr>
          <w:rFonts w:hint="eastAsia" w:ascii="仿宋_GB2312" w:hAnsi="仿宋_GB2312" w:cs="仿宋_GB2312"/>
          <w:color w:val="auto"/>
          <w:sz w:val="24"/>
          <w:highlight w:val="none"/>
        </w:rPr>
        <w:t>自行与员工确定，若因此而引起的法律或者经济纠纷，由</w:t>
      </w:r>
      <w:r>
        <w:rPr>
          <w:rFonts w:hint="eastAsia" w:ascii="仿宋_GB2312" w:hAnsi="仿宋_GB2312" w:cs="仿宋_GB2312"/>
          <w:color w:val="auto"/>
          <w:sz w:val="24"/>
          <w:highlight w:val="none"/>
          <w:lang w:val="en-US" w:eastAsia="zh-CN"/>
        </w:rPr>
        <w:t>乙方</w:t>
      </w:r>
      <w:r>
        <w:rPr>
          <w:rFonts w:hint="eastAsia" w:ascii="仿宋_GB2312" w:hAnsi="仿宋_GB2312" w:cs="仿宋_GB2312"/>
          <w:color w:val="auto"/>
          <w:sz w:val="24"/>
          <w:highlight w:val="none"/>
        </w:rPr>
        <w:t>负全责，</w:t>
      </w:r>
      <w:r>
        <w:rPr>
          <w:rFonts w:hint="eastAsia" w:ascii="仿宋_GB2312" w:hAnsi="仿宋_GB2312" w:cs="仿宋_GB2312"/>
          <w:color w:val="auto"/>
          <w:sz w:val="24"/>
          <w:highlight w:val="none"/>
          <w:lang w:val="en-US" w:eastAsia="zh-CN"/>
        </w:rPr>
        <w:t>甲方</w:t>
      </w:r>
      <w:r>
        <w:rPr>
          <w:rFonts w:hint="eastAsia" w:ascii="仿宋_GB2312" w:hAnsi="仿宋_GB2312" w:cs="仿宋_GB2312"/>
          <w:color w:val="auto"/>
          <w:sz w:val="24"/>
          <w:highlight w:val="none"/>
        </w:rPr>
        <w:t>不承担任何责任。</w:t>
      </w:r>
    </w:p>
    <w:p w14:paraId="0FCE1F7A">
      <w:pPr>
        <w:tabs>
          <w:tab w:val="left" w:pos="360"/>
          <w:tab w:val="left" w:pos="540"/>
          <w:tab w:val="left" w:pos="1080"/>
        </w:tabs>
        <w:adjustRightInd w:val="0"/>
        <w:snapToGrid w:val="0"/>
        <w:spacing w:line="360" w:lineRule="auto"/>
        <w:ind w:firstLine="464" w:firstLineChars="200"/>
        <w:rPr>
          <w:rFonts w:hint="default" w:ascii="仿宋_GB2312" w:hAnsi="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14.乙方负责向政府主管部门做好报检、报验等各项工作，费用含在报价内。</w:t>
      </w:r>
    </w:p>
    <w:p w14:paraId="7B27B4F0">
      <w:pPr>
        <w:pStyle w:val="2"/>
        <w:rPr>
          <w:rFonts w:hint="eastAsia"/>
        </w:rPr>
      </w:pPr>
    </w:p>
    <w:p w14:paraId="63247525">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五、检验和验收</w:t>
      </w:r>
      <w:bookmarkEnd w:id="176"/>
      <w:bookmarkEnd w:id="177"/>
      <w:bookmarkEnd w:id="178"/>
    </w:p>
    <w:p w14:paraId="08AF0980">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1.乙方按照合同的约定，完成合同约定的工作内容，甲方按照合同的约定要求进行验收。若甲方认为有必要可依法邀请相关方参加。若有验收特别约定的，按特别约定条款执行。</w:t>
      </w:r>
    </w:p>
    <w:p w14:paraId="3E0C2D0C">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2.初步验收</w:t>
      </w:r>
    </w:p>
    <w:p w14:paraId="7428EC04">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乙方在每台垃圾吊改造完成后，向甲方申请初步验收，初步验收内容如下表。</w:t>
      </w:r>
    </w:p>
    <w:tbl>
      <w:tblPr>
        <w:tblStyle w:val="26"/>
        <w:tblW w:w="88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543"/>
        <w:gridCol w:w="7356"/>
      </w:tblGrid>
      <w:tr w14:paraId="11189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3" w:hRule="atLeast"/>
          <w:jc w:val="center"/>
        </w:trPr>
        <w:tc>
          <w:tcPr>
            <w:tcW w:w="1543" w:type="dxa"/>
            <w:shd w:val="clear" w:color="auto" w:fill="auto"/>
            <w:vAlign w:val="center"/>
          </w:tcPr>
          <w:p w14:paraId="60F33A4E">
            <w:pPr>
              <w:widowControl/>
              <w:adjustRightInd w:val="0"/>
              <w:snapToGrid w:val="0"/>
              <w:spacing w:line="360" w:lineRule="auto"/>
              <w:jc w:val="center"/>
              <w:textAlignment w:val="bottom"/>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初步验收项目</w:t>
            </w:r>
          </w:p>
        </w:tc>
        <w:tc>
          <w:tcPr>
            <w:tcW w:w="7356" w:type="dxa"/>
            <w:shd w:val="clear" w:color="auto" w:fill="auto"/>
            <w:vAlign w:val="center"/>
          </w:tcPr>
          <w:p w14:paraId="6E10AF0E">
            <w:pPr>
              <w:widowControl/>
              <w:adjustRightInd w:val="0"/>
              <w:snapToGrid w:val="0"/>
              <w:spacing w:line="360" w:lineRule="auto"/>
              <w:jc w:val="center"/>
              <w:textAlignment w:val="bottom"/>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初步标准</w:t>
            </w:r>
          </w:p>
        </w:tc>
      </w:tr>
      <w:tr w14:paraId="61BAB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3" w:hRule="atLeast"/>
          <w:jc w:val="center"/>
        </w:trPr>
        <w:tc>
          <w:tcPr>
            <w:tcW w:w="1543" w:type="dxa"/>
            <w:shd w:val="clear" w:color="auto" w:fill="auto"/>
            <w:vAlign w:val="center"/>
          </w:tcPr>
          <w:p w14:paraId="780FA1CD">
            <w:pPr>
              <w:widowControl/>
              <w:adjustRightInd w:val="0"/>
              <w:snapToGrid w:val="0"/>
              <w:spacing w:line="360" w:lineRule="auto"/>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PLC系统</w:t>
            </w:r>
          </w:p>
        </w:tc>
        <w:tc>
          <w:tcPr>
            <w:tcW w:w="7356" w:type="dxa"/>
            <w:shd w:val="clear" w:color="auto" w:fill="auto"/>
            <w:vAlign w:val="center"/>
          </w:tcPr>
          <w:p w14:paraId="0ABF2352">
            <w:pPr>
              <w:widowControl/>
              <w:adjustRightInd w:val="0"/>
              <w:snapToGrid w:val="0"/>
              <w:spacing w:line="360" w:lineRule="auto"/>
              <w:jc w:val="left"/>
              <w:textAlignment w:val="bottom"/>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PLC升级。 PLC系统采用博途程序进行编程，须与原有西门子系统匹配，通讯、接口、逻辑控制须满足设备运行要求。</w:t>
            </w:r>
          </w:p>
        </w:tc>
      </w:tr>
      <w:tr w14:paraId="47D23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1" w:hRule="atLeast"/>
          <w:jc w:val="center"/>
        </w:trPr>
        <w:tc>
          <w:tcPr>
            <w:tcW w:w="1543" w:type="dxa"/>
            <w:shd w:val="clear" w:color="auto" w:fill="auto"/>
            <w:vAlign w:val="center"/>
          </w:tcPr>
          <w:p w14:paraId="544BD33C">
            <w:pPr>
              <w:widowControl/>
              <w:adjustRightInd w:val="0"/>
              <w:snapToGrid w:val="0"/>
              <w:spacing w:line="360" w:lineRule="auto"/>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PLC程序</w:t>
            </w:r>
          </w:p>
        </w:tc>
        <w:tc>
          <w:tcPr>
            <w:tcW w:w="7356" w:type="dxa"/>
            <w:shd w:val="clear" w:color="auto" w:fill="auto"/>
            <w:vAlign w:val="center"/>
          </w:tcPr>
          <w:p w14:paraId="7BF38214">
            <w:pPr>
              <w:widowControl/>
              <w:adjustRightInd w:val="0"/>
              <w:snapToGrid w:val="0"/>
              <w:spacing w:line="360" w:lineRule="auto"/>
              <w:jc w:val="left"/>
              <w:textAlignment w:val="bottom"/>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PLC程序要求除特殊封装功能块允许采用SCL之外其他均须采用梯形图编写；要求程序逻辑简明运行可靠，逻辑性好；程序各变量均为中文注释，程序段均为中文说明。技改完成后投标人需将 PLC 程序、密码、编程软件等一并交给甲方，经甲方核对无误后方可视为验收通过。</w:t>
            </w:r>
          </w:p>
        </w:tc>
      </w:tr>
      <w:tr w14:paraId="68D8F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jc w:val="center"/>
        </w:trPr>
        <w:tc>
          <w:tcPr>
            <w:tcW w:w="1543" w:type="dxa"/>
            <w:shd w:val="clear" w:color="auto" w:fill="auto"/>
            <w:vAlign w:val="center"/>
          </w:tcPr>
          <w:p w14:paraId="67C558D3">
            <w:pPr>
              <w:widowControl/>
              <w:adjustRightInd w:val="0"/>
              <w:snapToGrid w:val="0"/>
              <w:spacing w:line="360" w:lineRule="auto"/>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操作座椅</w:t>
            </w:r>
          </w:p>
        </w:tc>
        <w:tc>
          <w:tcPr>
            <w:tcW w:w="7356" w:type="dxa"/>
            <w:shd w:val="clear" w:color="auto" w:fill="auto"/>
            <w:vAlign w:val="center"/>
          </w:tcPr>
          <w:p w14:paraId="18ED761D">
            <w:pPr>
              <w:adjustRightInd w:val="0"/>
              <w:snapToGrid w:val="0"/>
              <w:spacing w:line="360" w:lineRule="auto"/>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座椅更新为匹配新增的PLC系统的挡位感知智能化座椅。座椅上安装10/15寸人机交互触摸屏，操作员可时时观察垃圾吊行车运行状态。如抓料重量、垃圾吊行车三维位置、上料统计重量（班统计、日统计、月统计、年统计）、限位状态、启动状态、各电机工作状态等。</w:t>
            </w:r>
          </w:p>
        </w:tc>
      </w:tr>
      <w:tr w14:paraId="124EF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5" w:hRule="atLeast"/>
          <w:jc w:val="center"/>
        </w:trPr>
        <w:tc>
          <w:tcPr>
            <w:tcW w:w="1543" w:type="dxa"/>
            <w:shd w:val="clear" w:color="auto" w:fill="auto"/>
            <w:vAlign w:val="center"/>
          </w:tcPr>
          <w:p w14:paraId="66F1EB9A">
            <w:pPr>
              <w:widowControl/>
              <w:adjustRightInd w:val="0"/>
              <w:snapToGrid w:val="0"/>
              <w:spacing w:line="360" w:lineRule="auto"/>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工业无线收发器</w:t>
            </w:r>
          </w:p>
        </w:tc>
        <w:tc>
          <w:tcPr>
            <w:tcW w:w="7356" w:type="dxa"/>
            <w:shd w:val="clear" w:color="auto" w:fill="auto"/>
            <w:vAlign w:val="center"/>
          </w:tcPr>
          <w:p w14:paraId="69E85D44">
            <w:pPr>
              <w:adjustRightInd w:val="0"/>
              <w:snapToGrid w:val="0"/>
              <w:spacing w:line="360" w:lineRule="auto"/>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实现垃圾吊行车称重信号及位置信号等无线传输。要求信号连续稳定，专用信道经论证与厂内其他无线设备无干扰，传输距离不低于2Km可快速更换。</w:t>
            </w:r>
          </w:p>
        </w:tc>
      </w:tr>
      <w:tr w14:paraId="15B8F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7" w:hRule="atLeast"/>
          <w:jc w:val="center"/>
        </w:trPr>
        <w:tc>
          <w:tcPr>
            <w:tcW w:w="1543" w:type="dxa"/>
            <w:shd w:val="clear" w:color="auto" w:fill="auto"/>
            <w:vAlign w:val="center"/>
          </w:tcPr>
          <w:p w14:paraId="79633BA2">
            <w:pPr>
              <w:widowControl/>
              <w:adjustRightInd w:val="0"/>
              <w:snapToGrid w:val="0"/>
              <w:spacing w:line="360" w:lineRule="auto"/>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kern w:val="0"/>
                <w:sz w:val="21"/>
                <w:szCs w:val="21"/>
                <w:highlight w:val="none"/>
                <w:lang w:bidi="ar"/>
              </w:rPr>
              <w:t>仓内控制箱</w:t>
            </w:r>
          </w:p>
        </w:tc>
        <w:tc>
          <w:tcPr>
            <w:tcW w:w="7356" w:type="dxa"/>
            <w:shd w:val="clear" w:color="auto" w:fill="auto"/>
            <w:vAlign w:val="center"/>
          </w:tcPr>
          <w:p w14:paraId="6EF3B022">
            <w:pPr>
              <w:widowControl/>
              <w:adjustRightInd w:val="0"/>
              <w:snapToGrid w:val="0"/>
              <w:spacing w:line="360" w:lineRule="auto"/>
              <w:jc w:val="left"/>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垃圾吊行车上的PLC控制箱、通讯控制箱、配电箱、转接箱等共计18个电气控制箱均移至电气室内，加放1800m  12*1.5控制电缆；</w:t>
            </w:r>
          </w:p>
        </w:tc>
      </w:tr>
      <w:tr w14:paraId="3EEF8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5" w:hRule="atLeast"/>
          <w:jc w:val="center"/>
        </w:trPr>
        <w:tc>
          <w:tcPr>
            <w:tcW w:w="1543" w:type="dxa"/>
            <w:shd w:val="clear" w:color="auto" w:fill="auto"/>
            <w:vAlign w:val="center"/>
          </w:tcPr>
          <w:p w14:paraId="734E2693">
            <w:pPr>
              <w:widowControl/>
              <w:adjustRightInd w:val="0"/>
              <w:snapToGrid w:val="0"/>
              <w:spacing w:line="360" w:lineRule="auto"/>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kern w:val="0"/>
                <w:sz w:val="21"/>
                <w:szCs w:val="21"/>
                <w:highlight w:val="none"/>
                <w:lang w:bidi="ar"/>
              </w:rPr>
              <w:t>定位系统</w:t>
            </w:r>
          </w:p>
        </w:tc>
        <w:tc>
          <w:tcPr>
            <w:tcW w:w="7356" w:type="dxa"/>
            <w:shd w:val="clear" w:color="auto" w:fill="auto"/>
            <w:vAlign w:val="center"/>
          </w:tcPr>
          <w:p w14:paraId="182AD9BA">
            <w:pPr>
              <w:widowControl/>
              <w:adjustRightInd w:val="0"/>
              <w:snapToGrid w:val="0"/>
              <w:spacing w:line="360" w:lineRule="auto"/>
              <w:jc w:val="left"/>
              <w:textAlignment w:val="bottom"/>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垃圾吊均大小车定位采用二维码定位和激光限位组合判定；要求读头沿X方向平行于码带移动，每10ms或25ms提供一次高精度的位置数据，如X绝对位置、码带Y方向偏移量、码带的穿梭速度和质量值，数据通过控制器 </w:t>
            </w:r>
            <w:r>
              <w:rPr>
                <w:color w:val="auto"/>
                <w:highlight w:val="none"/>
              </w:rPr>
              <w:fldChar w:fldCharType="begin"/>
            </w:r>
            <w:r>
              <w:rPr>
                <w:color w:val="auto"/>
                <w:highlight w:val="none"/>
              </w:rPr>
              <w:instrText xml:space="preserve"> HYPERLINK "http://www.gongkong.com/plc/" \t "https://www.gongkong.com/product/202111/_blank" </w:instrText>
            </w:r>
            <w:r>
              <w:rPr>
                <w:color w:val="auto"/>
                <w:highlight w:val="none"/>
              </w:rPr>
              <w:fldChar w:fldCharType="separate"/>
            </w:r>
            <w:r>
              <w:rPr>
                <w:rFonts w:hint="eastAsia" w:ascii="仿宋_GB2312" w:hAnsi="仿宋_GB2312" w:cs="仿宋_GB2312"/>
                <w:color w:val="auto"/>
                <w:sz w:val="21"/>
                <w:szCs w:val="21"/>
                <w:highlight w:val="none"/>
              </w:rPr>
              <w:t>PLC</w:t>
            </w:r>
            <w:r>
              <w:rPr>
                <w:rFonts w:hint="eastAsia" w:ascii="仿宋_GB2312" w:hAnsi="仿宋_GB2312" w:cs="仿宋_GB2312"/>
                <w:color w:val="auto"/>
                <w:sz w:val="21"/>
                <w:szCs w:val="21"/>
                <w:highlight w:val="none"/>
              </w:rPr>
              <w:fldChar w:fldCharType="end"/>
            </w:r>
            <w:r>
              <w:rPr>
                <w:rFonts w:hint="eastAsia" w:ascii="仿宋_GB2312" w:hAnsi="仿宋_GB2312" w:cs="仿宋_GB2312"/>
                <w:color w:val="auto"/>
                <w:sz w:val="21"/>
                <w:szCs w:val="21"/>
                <w:highlight w:val="none"/>
              </w:rPr>
              <w:t> 进行读取。</w:t>
            </w:r>
          </w:p>
        </w:tc>
      </w:tr>
      <w:tr w14:paraId="1344F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7" w:hRule="atLeast"/>
          <w:jc w:val="center"/>
        </w:trPr>
        <w:tc>
          <w:tcPr>
            <w:tcW w:w="1543" w:type="dxa"/>
            <w:shd w:val="clear" w:color="auto" w:fill="auto"/>
            <w:vAlign w:val="center"/>
          </w:tcPr>
          <w:p w14:paraId="05F5324E">
            <w:pPr>
              <w:widowControl/>
              <w:adjustRightInd w:val="0"/>
              <w:snapToGrid w:val="0"/>
              <w:spacing w:line="360" w:lineRule="auto"/>
              <w:jc w:val="center"/>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变频器</w:t>
            </w:r>
          </w:p>
        </w:tc>
        <w:tc>
          <w:tcPr>
            <w:tcW w:w="7356" w:type="dxa"/>
            <w:shd w:val="clear" w:color="auto" w:fill="auto"/>
            <w:vAlign w:val="center"/>
          </w:tcPr>
          <w:p w14:paraId="2A978E90">
            <w:pPr>
              <w:widowControl/>
              <w:adjustRightInd w:val="0"/>
              <w:snapToGrid w:val="0"/>
              <w:spacing w:line="360" w:lineRule="auto"/>
              <w:jc w:val="left"/>
              <w:textAlignment w:val="bottom"/>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垃圾吊大车、小车、起升变频器控制单元、控制板、驱动板等予以更换；同时保留了起升电机、整流、逆变、回馈等部分功率器件；</w:t>
            </w:r>
          </w:p>
        </w:tc>
      </w:tr>
      <w:tr w14:paraId="44662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5" w:hRule="atLeast"/>
          <w:jc w:val="center"/>
        </w:trPr>
        <w:tc>
          <w:tcPr>
            <w:tcW w:w="1543" w:type="dxa"/>
            <w:shd w:val="clear" w:color="auto" w:fill="auto"/>
            <w:vAlign w:val="center"/>
          </w:tcPr>
          <w:p w14:paraId="57759818">
            <w:pPr>
              <w:widowControl/>
              <w:adjustRightInd w:val="0"/>
              <w:snapToGrid w:val="0"/>
              <w:spacing w:line="360" w:lineRule="auto"/>
              <w:jc w:val="left"/>
              <w:textAlignment w:val="bottom"/>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防晃功能</w:t>
            </w:r>
          </w:p>
        </w:tc>
        <w:tc>
          <w:tcPr>
            <w:tcW w:w="7356" w:type="dxa"/>
            <w:shd w:val="clear" w:color="auto" w:fill="auto"/>
            <w:vAlign w:val="center"/>
          </w:tcPr>
          <w:p w14:paraId="5558A2B0">
            <w:pPr>
              <w:widowControl/>
              <w:adjustRightInd w:val="0"/>
              <w:snapToGrid w:val="0"/>
              <w:spacing w:line="360" w:lineRule="auto"/>
              <w:jc w:val="left"/>
              <w:textAlignment w:val="bottom"/>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改造后起重机应在plc程序内编写闭环防摇摆程序，保证行车在高速停止时抓斗晃动幅度小于0.5度，且滑行距离小于2m。为保证安全严禁采用外挂模块等其他方式实现垃圾吊防摇功能。</w:t>
            </w:r>
          </w:p>
        </w:tc>
      </w:tr>
      <w:tr w14:paraId="43BEC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7" w:hRule="atLeast"/>
          <w:jc w:val="center"/>
        </w:trPr>
        <w:tc>
          <w:tcPr>
            <w:tcW w:w="1543" w:type="dxa"/>
            <w:shd w:val="clear" w:color="auto" w:fill="auto"/>
            <w:vAlign w:val="center"/>
          </w:tcPr>
          <w:p w14:paraId="1F2D9BA2">
            <w:pPr>
              <w:widowControl/>
              <w:adjustRightInd w:val="0"/>
              <w:snapToGrid w:val="0"/>
              <w:spacing w:line="360" w:lineRule="auto"/>
              <w:jc w:val="center"/>
              <w:textAlignment w:val="center"/>
              <w:rPr>
                <w:rFonts w:hint="eastAsia" w:ascii="仿宋_GB2312" w:hAnsi="仿宋_GB2312" w:cs="仿宋_GB2312"/>
                <w:color w:val="auto"/>
                <w:sz w:val="21"/>
                <w:szCs w:val="21"/>
                <w:highlight w:val="none"/>
              </w:rPr>
            </w:pPr>
            <w:r>
              <w:rPr>
                <w:rStyle w:val="62"/>
                <w:rFonts w:hint="eastAsia" w:ascii="仿宋_GB2312" w:hAnsi="仿宋_GB2312" w:eastAsia="仿宋_GB2312" w:cs="仿宋_GB2312"/>
                <w:color w:val="auto"/>
                <w:sz w:val="21"/>
                <w:szCs w:val="21"/>
                <w:highlight w:val="none"/>
                <w:lang w:bidi="ar"/>
              </w:rPr>
              <w:t>防撞功能</w:t>
            </w:r>
          </w:p>
        </w:tc>
        <w:tc>
          <w:tcPr>
            <w:tcW w:w="7356" w:type="dxa"/>
            <w:shd w:val="clear" w:color="auto" w:fill="auto"/>
            <w:vAlign w:val="center"/>
          </w:tcPr>
          <w:p w14:paraId="33B8631B">
            <w:pPr>
              <w:widowControl/>
              <w:adjustRightInd w:val="0"/>
              <w:snapToGrid w:val="0"/>
              <w:spacing w:line="360" w:lineRule="auto"/>
              <w:jc w:val="left"/>
              <w:textAlignment w:val="bottom"/>
              <w:rPr>
                <w:rFonts w:hint="eastAsia" w:ascii="仿宋_GB2312" w:hAnsi="仿宋_GB2312" w:cs="仿宋_GB2312"/>
                <w:color w:val="auto"/>
                <w:sz w:val="21"/>
                <w:szCs w:val="21"/>
                <w:highlight w:val="none"/>
              </w:rPr>
            </w:pPr>
            <w:r>
              <w:rPr>
                <w:rStyle w:val="62"/>
                <w:rFonts w:hint="eastAsia" w:ascii="仿宋_GB2312" w:hAnsi="仿宋_GB2312" w:eastAsia="仿宋_GB2312" w:cs="仿宋_GB2312"/>
                <w:color w:val="auto"/>
                <w:sz w:val="21"/>
                <w:szCs w:val="21"/>
                <w:highlight w:val="none"/>
                <w:lang w:bidi="ar"/>
              </w:rPr>
              <w:t>3台垃圾吊之间、垃圾吊与卸料平台、垃圾吊与控制室、垃圾吊四周墙壁均有5m减速和1m急停保护；</w:t>
            </w:r>
          </w:p>
        </w:tc>
      </w:tr>
      <w:tr w14:paraId="1BEA5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5" w:hRule="atLeast"/>
          <w:jc w:val="center"/>
        </w:trPr>
        <w:tc>
          <w:tcPr>
            <w:tcW w:w="1543" w:type="dxa"/>
            <w:shd w:val="clear" w:color="auto" w:fill="auto"/>
            <w:vAlign w:val="center"/>
          </w:tcPr>
          <w:p w14:paraId="07F36E38">
            <w:pPr>
              <w:widowControl/>
              <w:adjustRightInd w:val="0"/>
              <w:snapToGrid w:val="0"/>
              <w:spacing w:line="360" w:lineRule="auto"/>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抓斗上下限位</w:t>
            </w:r>
          </w:p>
        </w:tc>
        <w:tc>
          <w:tcPr>
            <w:tcW w:w="7356" w:type="dxa"/>
            <w:shd w:val="clear" w:color="auto" w:fill="auto"/>
            <w:vAlign w:val="center"/>
          </w:tcPr>
          <w:p w14:paraId="20D80FFF">
            <w:pPr>
              <w:widowControl/>
              <w:adjustRightInd w:val="0"/>
              <w:snapToGrid w:val="0"/>
              <w:spacing w:line="360" w:lineRule="auto"/>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抓斗设有下停止限位、5m上减速限位、上停止限位、上冲顶限位；</w:t>
            </w:r>
          </w:p>
        </w:tc>
      </w:tr>
      <w:tr w14:paraId="71BF7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5" w:hRule="atLeast"/>
          <w:jc w:val="center"/>
        </w:trPr>
        <w:tc>
          <w:tcPr>
            <w:tcW w:w="1543" w:type="dxa"/>
            <w:shd w:val="clear" w:color="auto" w:fill="auto"/>
            <w:vAlign w:val="center"/>
          </w:tcPr>
          <w:p w14:paraId="09536F97">
            <w:pPr>
              <w:widowControl/>
              <w:adjustRightInd w:val="0"/>
              <w:snapToGrid w:val="0"/>
              <w:spacing w:line="360" w:lineRule="auto"/>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垃圾吊动作</w:t>
            </w:r>
          </w:p>
        </w:tc>
        <w:tc>
          <w:tcPr>
            <w:tcW w:w="7356" w:type="dxa"/>
            <w:shd w:val="clear" w:color="auto" w:fill="auto"/>
            <w:vAlign w:val="center"/>
          </w:tcPr>
          <w:p w14:paraId="60ECA695">
            <w:pPr>
              <w:widowControl/>
              <w:adjustRightInd w:val="0"/>
              <w:snapToGrid w:val="0"/>
              <w:spacing w:line="360" w:lineRule="auto"/>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垃圾吊上下、左右、前后、抓斗开闭动作流畅，运行可靠；</w:t>
            </w:r>
          </w:p>
        </w:tc>
      </w:tr>
      <w:tr w14:paraId="43B69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8" w:hRule="atLeast"/>
          <w:jc w:val="center"/>
        </w:trPr>
        <w:tc>
          <w:tcPr>
            <w:tcW w:w="1543" w:type="dxa"/>
            <w:shd w:val="clear" w:color="auto" w:fill="auto"/>
            <w:vAlign w:val="center"/>
          </w:tcPr>
          <w:p w14:paraId="59D88CB4">
            <w:pPr>
              <w:widowControl/>
              <w:adjustRightInd w:val="0"/>
              <w:snapToGrid w:val="0"/>
              <w:spacing w:line="360" w:lineRule="auto"/>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称重系统</w:t>
            </w:r>
          </w:p>
        </w:tc>
        <w:tc>
          <w:tcPr>
            <w:tcW w:w="7356" w:type="dxa"/>
            <w:shd w:val="clear" w:color="auto" w:fill="auto"/>
            <w:vAlign w:val="center"/>
          </w:tcPr>
          <w:p w14:paraId="639AC64E">
            <w:pPr>
              <w:widowControl/>
              <w:adjustRightInd w:val="0"/>
              <w:snapToGrid w:val="0"/>
              <w:spacing w:line="360" w:lineRule="auto"/>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称重报表应简单明了、真实可靠，单次投料重量、班投料重量、日投料重量、年投料重量能实时导出，并能通过DP通讯传输至DCS控制系统。</w:t>
            </w:r>
          </w:p>
        </w:tc>
      </w:tr>
      <w:tr w14:paraId="34813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8" w:hRule="atLeast"/>
          <w:jc w:val="center"/>
        </w:trPr>
        <w:tc>
          <w:tcPr>
            <w:tcW w:w="1543" w:type="dxa"/>
            <w:shd w:val="clear" w:color="auto" w:fill="auto"/>
            <w:vAlign w:val="center"/>
          </w:tcPr>
          <w:p w14:paraId="4E631786">
            <w:pPr>
              <w:widowControl/>
              <w:adjustRightInd w:val="0"/>
              <w:snapToGrid w:val="0"/>
              <w:spacing w:line="360" w:lineRule="auto"/>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一键旁路功能</w:t>
            </w:r>
          </w:p>
        </w:tc>
        <w:tc>
          <w:tcPr>
            <w:tcW w:w="7356" w:type="dxa"/>
            <w:shd w:val="clear" w:color="auto" w:fill="auto"/>
            <w:vAlign w:val="center"/>
          </w:tcPr>
          <w:p w14:paraId="4A8A3E34">
            <w:pPr>
              <w:widowControl/>
              <w:adjustRightInd w:val="0"/>
              <w:snapToGrid w:val="0"/>
              <w:spacing w:line="360" w:lineRule="auto"/>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对限位开关、通讯故障、子站故障设置旁路功能，旁路功能开启后需同时启用安全限速功能。</w:t>
            </w:r>
          </w:p>
        </w:tc>
      </w:tr>
      <w:tr w14:paraId="210FC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8" w:hRule="atLeast"/>
          <w:jc w:val="center"/>
        </w:trPr>
        <w:tc>
          <w:tcPr>
            <w:tcW w:w="1543" w:type="dxa"/>
            <w:shd w:val="clear" w:color="auto" w:fill="auto"/>
            <w:vAlign w:val="center"/>
          </w:tcPr>
          <w:p w14:paraId="5C6201CF">
            <w:pPr>
              <w:widowControl/>
              <w:adjustRightInd w:val="0"/>
              <w:snapToGrid w:val="0"/>
              <w:spacing w:line="360" w:lineRule="auto"/>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安全保护要求</w:t>
            </w:r>
          </w:p>
        </w:tc>
        <w:tc>
          <w:tcPr>
            <w:tcW w:w="7356" w:type="dxa"/>
            <w:shd w:val="clear" w:color="auto" w:fill="auto"/>
            <w:vAlign w:val="center"/>
          </w:tcPr>
          <w:p w14:paraId="36EC4495">
            <w:pPr>
              <w:widowControl/>
              <w:adjustRightInd w:val="0"/>
              <w:snapToGrid w:val="0"/>
              <w:spacing w:line="360" w:lineRule="auto"/>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对大小车与坑壁及障碍物直接可设置分段减速，具有分段减速距离可调的功能，且此功能经授权后可解除。行车直接具有防撞功能，且设置分段防撞，确保运行安全</w:t>
            </w:r>
            <w:r>
              <w:rPr>
                <w:rStyle w:val="62"/>
                <w:rFonts w:hint="eastAsia" w:ascii="仿宋_GB2312" w:hAnsi="仿宋_GB2312" w:cs="仿宋_GB2312"/>
                <w:color w:val="auto"/>
                <w:sz w:val="21"/>
                <w:szCs w:val="21"/>
                <w:highlight w:val="none"/>
                <w:lang w:bidi="ar"/>
              </w:rPr>
              <w:t>。</w:t>
            </w:r>
          </w:p>
        </w:tc>
      </w:tr>
      <w:tr w14:paraId="6D394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8" w:hRule="atLeast"/>
          <w:jc w:val="center"/>
        </w:trPr>
        <w:tc>
          <w:tcPr>
            <w:tcW w:w="1543" w:type="dxa"/>
            <w:shd w:val="clear" w:color="auto" w:fill="auto"/>
            <w:vAlign w:val="center"/>
          </w:tcPr>
          <w:p w14:paraId="76743A42">
            <w:pPr>
              <w:widowControl/>
              <w:adjustRightInd w:val="0"/>
              <w:snapToGrid w:val="0"/>
              <w:spacing w:line="360" w:lineRule="auto"/>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图纸要求</w:t>
            </w:r>
          </w:p>
        </w:tc>
        <w:tc>
          <w:tcPr>
            <w:tcW w:w="7356" w:type="dxa"/>
            <w:shd w:val="clear" w:color="auto" w:fill="auto"/>
            <w:vAlign w:val="center"/>
          </w:tcPr>
          <w:p w14:paraId="63EBEEE9">
            <w:pPr>
              <w:widowControl/>
              <w:adjustRightInd w:val="0"/>
              <w:snapToGrid w:val="0"/>
              <w:spacing w:line="360" w:lineRule="auto"/>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图纸按照现图纸重新绘制，并严格按照国家相关标准执行，且保证图纸完整包括但不限于原理图、系统图、放线图、布置图等；</w:t>
            </w:r>
          </w:p>
        </w:tc>
      </w:tr>
      <w:tr w14:paraId="54719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8" w:hRule="atLeast"/>
          <w:jc w:val="center"/>
        </w:trPr>
        <w:tc>
          <w:tcPr>
            <w:tcW w:w="1543" w:type="dxa"/>
            <w:shd w:val="clear" w:color="auto" w:fill="auto"/>
            <w:vAlign w:val="center"/>
          </w:tcPr>
          <w:p w14:paraId="48826D56">
            <w:pPr>
              <w:widowControl/>
              <w:adjustRightInd w:val="0"/>
              <w:snapToGrid w:val="0"/>
              <w:spacing w:line="360" w:lineRule="auto"/>
              <w:jc w:val="center"/>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自动化要求</w:t>
            </w:r>
          </w:p>
        </w:tc>
        <w:tc>
          <w:tcPr>
            <w:tcW w:w="7356" w:type="dxa"/>
            <w:shd w:val="clear" w:color="auto" w:fill="auto"/>
            <w:vAlign w:val="center"/>
          </w:tcPr>
          <w:p w14:paraId="4EA96AC3">
            <w:pPr>
              <w:widowControl/>
              <w:adjustRightInd w:val="0"/>
              <w:snapToGrid w:val="0"/>
              <w:spacing w:line="360" w:lineRule="auto"/>
              <w:jc w:val="left"/>
              <w:textAlignment w:val="center"/>
              <w:rPr>
                <w:rStyle w:val="62"/>
                <w:rFonts w:hint="eastAsia" w:ascii="仿宋_GB2312" w:hAnsi="仿宋_GB2312" w:eastAsia="仿宋_GB2312" w:cs="仿宋_GB2312"/>
                <w:color w:val="auto"/>
                <w:sz w:val="21"/>
                <w:szCs w:val="21"/>
                <w:highlight w:val="none"/>
                <w:lang w:bidi="ar"/>
              </w:rPr>
            </w:pPr>
            <w:r>
              <w:rPr>
                <w:rStyle w:val="62"/>
                <w:rFonts w:hint="eastAsia" w:ascii="仿宋_GB2312" w:hAnsi="仿宋_GB2312" w:eastAsia="仿宋_GB2312" w:cs="仿宋_GB2312"/>
                <w:color w:val="auto"/>
                <w:sz w:val="21"/>
                <w:szCs w:val="21"/>
                <w:highlight w:val="none"/>
                <w:lang w:bidi="ar"/>
              </w:rPr>
              <w:t>要求保留原自动化功能（一键上料功能及一键返回功能）且安全可靠稳定；</w:t>
            </w:r>
          </w:p>
        </w:tc>
      </w:tr>
    </w:tbl>
    <w:p w14:paraId="23EBCE30">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3.试运行验收</w:t>
      </w:r>
    </w:p>
    <w:p w14:paraId="2851C9FA">
      <w:pPr>
        <w:pStyle w:val="17"/>
        <w:spacing w:line="360" w:lineRule="auto"/>
        <w:ind w:firstLine="464" w:firstLineChars="200"/>
        <w:rPr>
          <w:rFonts w:hint="eastAsia" w:ascii="仿宋_GB2312" w:hAnsi="仿宋_GB2312" w:eastAsia="仿宋_GB2312" w:cs="仿宋_GB2312"/>
          <w:color w:val="auto"/>
          <w:kern w:val="2"/>
          <w:sz w:val="24"/>
          <w:highlight w:val="none"/>
        </w:rPr>
      </w:pPr>
      <w:r>
        <w:rPr>
          <w:rFonts w:hint="eastAsia" w:ascii="仿宋_GB2312" w:hAnsi="仿宋_GB2312" w:eastAsia="仿宋_GB2312" w:cs="仿宋_GB2312"/>
          <w:color w:val="auto"/>
          <w:kern w:val="2"/>
          <w:sz w:val="24"/>
          <w:highlight w:val="none"/>
        </w:rPr>
        <w:t>每台垃圾吊改造初步验收通过后，甲方组织为期7天的试运行验收。试运行期间，垃圾吊带料运行，要求垃圾吊运行稳定、通讯畅通、各项参数正常，满足甲方招标文件要求。</w:t>
      </w:r>
    </w:p>
    <w:p w14:paraId="64BE3AAF">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4.性能验收</w:t>
      </w:r>
    </w:p>
    <w:p w14:paraId="54F5B0AB">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每台垃圾吊改造在试运行验收合格后，甲方组织性能验收，垃圾吊连续 72+24小时后，运行稳定、通讯畅通、各项参数正常为通过性能验收，视为该台垃圾吊改造验收合格，甲方出具性能验收报告。若未能通过性能验收，乙方负责重新拆除或安装，调换不合格设备并按要求重新进行性能验收，由此增加的修理、备件购置、拆除及重新安装调试的费用及延误的工期由乙方自行承担。</w:t>
      </w:r>
    </w:p>
    <w:p w14:paraId="1795AAEE">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5.其他验收要求</w:t>
      </w:r>
    </w:p>
    <w:p w14:paraId="63CB26FA">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货物交付前，乙方应对货物的品牌、规格、质量、数量等方面进行详细、全面的检验，并向甲方出具证明货物符合合同约定的文件；若甲方认为有必要可邀请相关方参加。证明货物符合合同约定的文件是指包括但不限于合格证、检测报告（制造厂家或者第三方机构）等。</w:t>
      </w:r>
    </w:p>
    <w:p w14:paraId="03A33FB5">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b/>
          <w:bCs/>
          <w:color w:val="auto"/>
          <w:sz w:val="24"/>
          <w:highlight w:val="none"/>
        </w:rPr>
      </w:pPr>
      <w:r>
        <w:rPr>
          <w:rFonts w:hint="eastAsia" w:ascii="仿宋_GB2312" w:hAnsi="仿宋_GB2312" w:cs="仿宋_GB2312"/>
          <w:color w:val="auto"/>
          <w:sz w:val="24"/>
          <w:highlight w:val="none"/>
        </w:rPr>
        <w:t>（2）</w:t>
      </w:r>
      <w:r>
        <w:rPr>
          <w:rFonts w:hint="eastAsia" w:ascii="仿宋_GB2312" w:hAnsi="仿宋_GB2312" w:cs="仿宋_GB2312"/>
          <w:color w:val="auto"/>
          <w:sz w:val="24"/>
          <w:highlight w:val="none"/>
          <w:lang w:val="en-US" w:eastAsia="zh-CN"/>
        </w:rPr>
        <w:t>乙方</w:t>
      </w:r>
      <w:r>
        <w:rPr>
          <w:rFonts w:hint="eastAsia" w:ascii="仿宋_GB2312" w:hAnsi="仿宋_GB2312" w:cs="仿宋_GB2312"/>
          <w:color w:val="auto"/>
          <w:sz w:val="24"/>
          <w:highlight w:val="none"/>
        </w:rPr>
        <w:t>要保证货物质量符合国家标准或者行业标准的要求，对不符合要求的货物，投标人无条件予以调换。</w:t>
      </w:r>
    </w:p>
    <w:p w14:paraId="28CFB209">
      <w:pPr>
        <w:pStyle w:val="9"/>
        <w:adjustRightInd w:val="0"/>
        <w:snapToGrid w:val="0"/>
        <w:spacing w:line="360" w:lineRule="auto"/>
        <w:ind w:firstLine="464"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snapToGrid w:val="0"/>
          <w:color w:val="auto"/>
          <w:sz w:val="24"/>
          <w:szCs w:val="24"/>
          <w:highlight w:val="none"/>
        </w:rPr>
        <w:t>六、</w:t>
      </w:r>
      <w:r>
        <w:rPr>
          <w:rFonts w:hint="eastAsia" w:ascii="仿宋_GB2312" w:hAnsi="仿宋_GB2312" w:eastAsia="仿宋_GB2312" w:cs="仿宋_GB2312"/>
          <w:b/>
          <w:color w:val="auto"/>
          <w:sz w:val="24"/>
          <w:szCs w:val="24"/>
          <w:highlight w:val="none"/>
        </w:rPr>
        <w:t>验收特别约定条款</w:t>
      </w:r>
    </w:p>
    <w:p w14:paraId="42EDCE59">
      <w:pPr>
        <w:tabs>
          <w:tab w:val="left" w:pos="360"/>
          <w:tab w:val="left" w:pos="540"/>
          <w:tab w:val="left" w:pos="1080"/>
        </w:tabs>
        <w:adjustRightInd w:val="0"/>
        <w:snapToGrid w:val="0"/>
        <w:spacing w:line="360" w:lineRule="auto"/>
        <w:ind w:firstLine="464" w:firstLineChars="200"/>
        <w:rPr>
          <w:rFonts w:hint="eastAsia" w:ascii="仿宋_GB2312" w:hAnsi="仿宋_GB2312" w:cs="仿宋_GB2312"/>
          <w:color w:val="auto"/>
          <w:sz w:val="24"/>
          <w:highlight w:val="none"/>
          <w:u w:val="single"/>
        </w:rPr>
      </w:pPr>
      <w:r>
        <w:rPr>
          <w:rFonts w:hint="eastAsia" w:ascii="仿宋_GB2312" w:hAnsi="仿宋_GB2312" w:cs="仿宋_GB2312"/>
          <w:color w:val="auto"/>
          <w:sz w:val="24"/>
          <w:highlight w:val="none"/>
        </w:rPr>
        <w:t>1.</w:t>
      </w:r>
      <w:r>
        <w:rPr>
          <w:rFonts w:hint="eastAsia" w:ascii="仿宋_GB2312" w:hAnsi="仿宋_GB2312" w:cs="仿宋_GB2312"/>
          <w:color w:val="auto"/>
          <w:sz w:val="24"/>
          <w:highlight w:val="none"/>
          <w:u w:val="single"/>
        </w:rPr>
        <w:t xml:space="preserve">  以单台垃圾吊性能验收报告为准 。</w:t>
      </w:r>
    </w:p>
    <w:p w14:paraId="38120652">
      <w:pPr>
        <w:pStyle w:val="54"/>
        <w:adjustRightInd w:val="0"/>
        <w:snapToGrid w:val="0"/>
        <w:spacing w:before="0" w:beforeAutospacing="0" w:after="0" w:afterAutospacing="0" w:line="360" w:lineRule="auto"/>
        <w:ind w:firstLine="48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七、履约保证金</w:t>
      </w:r>
    </w:p>
    <w:p w14:paraId="26895766">
      <w:pPr>
        <w:pStyle w:val="54"/>
        <w:adjustRightInd w:val="0"/>
        <w:snapToGrid w:val="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乙方</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sym w:font="Wingdings" w:char="00FE"/>
      </w:r>
      <w:r>
        <w:rPr>
          <w:rFonts w:hint="eastAsia" w:ascii="仿宋_GB2312" w:hAnsi="仿宋_GB2312" w:eastAsia="仿宋_GB2312" w:cs="仿宋_GB2312"/>
          <w:color w:val="auto"/>
          <w:highlight w:val="none"/>
          <w:u w:val="single"/>
        </w:rPr>
        <w:t xml:space="preserve">是  </w:t>
      </w:r>
      <w:r>
        <w:rPr>
          <w:rFonts w:hint="eastAsia" w:ascii="仿宋_GB2312" w:hAnsi="仿宋_GB2312" w:eastAsia="仿宋_GB2312" w:cs="仿宋_GB2312"/>
          <w:color w:val="auto"/>
          <w:highlight w:val="none"/>
          <w:u w:val="single"/>
        </w:rPr>
        <w:sym w:font="Wingdings" w:char="00A8"/>
      </w:r>
      <w:r>
        <w:rPr>
          <w:rFonts w:hint="eastAsia" w:ascii="仿宋_GB2312" w:hAnsi="仿宋_GB2312" w:eastAsia="仿宋_GB2312" w:cs="仿宋_GB2312"/>
          <w:color w:val="auto"/>
          <w:highlight w:val="none"/>
          <w:u w:val="single"/>
        </w:rPr>
        <w:t xml:space="preserve">否   </w:t>
      </w:r>
      <w:r>
        <w:rPr>
          <w:rFonts w:hint="eastAsia" w:ascii="仿宋_GB2312" w:hAnsi="仿宋_GB2312" w:eastAsia="仿宋_GB2312" w:cs="仿宋_GB2312"/>
          <w:color w:val="auto"/>
          <w:highlight w:val="none"/>
        </w:rPr>
        <w:t>需要支付履约保证金。若需要支付履约保证金的，则：</w:t>
      </w:r>
    </w:p>
    <w:p w14:paraId="7DEAB533">
      <w:pPr>
        <w:adjustRightInd w:val="0"/>
        <w:snapToGrid w:val="0"/>
        <w:spacing w:line="360" w:lineRule="auto"/>
        <w:ind w:firstLine="464" w:firstLineChars="200"/>
        <w:outlineLvl w:val="0"/>
        <w:rPr>
          <w:rFonts w:hint="eastAsia" w:ascii="仿宋_GB2312" w:hAnsi="仿宋_GB2312" w:cs="仿宋_GB2312"/>
          <w:color w:val="auto"/>
          <w:kern w:val="0"/>
          <w:sz w:val="24"/>
          <w:highlight w:val="none"/>
        </w:rPr>
      </w:pPr>
      <w:bookmarkStart w:id="179" w:name="_Toc4820"/>
      <w:r>
        <w:rPr>
          <w:rFonts w:hint="eastAsia" w:ascii="仿宋_GB2312" w:hAnsi="仿宋_GB2312" w:cs="仿宋_GB2312"/>
          <w:color w:val="auto"/>
          <w:kern w:val="0"/>
          <w:sz w:val="24"/>
          <w:highlight w:val="none"/>
        </w:rPr>
        <w:t>1.履约保证金的比例为合同金额的</w:t>
      </w:r>
      <w:r>
        <w:rPr>
          <w:rFonts w:hint="eastAsia" w:ascii="仿宋_GB2312" w:hAnsi="仿宋_GB2312" w:cs="仿宋_GB2312"/>
          <w:color w:val="auto"/>
          <w:kern w:val="0"/>
          <w:sz w:val="24"/>
          <w:highlight w:val="none"/>
          <w:u w:val="single"/>
        </w:rPr>
        <w:t xml:space="preserve">  </w:t>
      </w:r>
      <w:r>
        <w:rPr>
          <w:rFonts w:hint="eastAsia" w:ascii="仿宋_GB2312" w:hAnsi="仿宋_GB2312" w:cs="仿宋_GB2312"/>
          <w:b/>
          <w:bCs/>
          <w:i/>
          <w:iCs/>
          <w:color w:val="auto"/>
          <w:kern w:val="0"/>
          <w:sz w:val="24"/>
          <w:highlight w:val="none"/>
          <w:u w:val="single"/>
        </w:rPr>
        <w:t xml:space="preserve">5 </w:t>
      </w:r>
      <w:r>
        <w:rPr>
          <w:rFonts w:hint="eastAsia" w:ascii="仿宋_GB2312" w:hAnsi="仿宋_GB2312" w:cs="仿宋_GB2312"/>
          <w:color w:val="auto"/>
          <w:kern w:val="0"/>
          <w:sz w:val="24"/>
          <w:highlight w:val="none"/>
          <w:u w:val="single"/>
        </w:rPr>
        <w:t xml:space="preserve"> </w:t>
      </w:r>
      <w:r>
        <w:rPr>
          <w:rFonts w:hint="eastAsia" w:ascii="仿宋_GB2312" w:hAnsi="仿宋_GB2312" w:cs="仿宋_GB2312"/>
          <w:color w:val="auto"/>
          <w:kern w:val="0"/>
          <w:sz w:val="24"/>
          <w:highlight w:val="none"/>
        </w:rPr>
        <w:t>%，金额为</w:t>
      </w:r>
      <w:r>
        <w:rPr>
          <w:rFonts w:hint="eastAsia" w:ascii="仿宋_GB2312" w:hAnsi="仿宋_GB2312" w:cs="仿宋_GB2312"/>
          <w:color w:val="auto"/>
          <w:kern w:val="0"/>
          <w:sz w:val="24"/>
          <w:highlight w:val="none"/>
          <w:u w:val="single"/>
        </w:rPr>
        <w:t xml:space="preserve">      </w:t>
      </w:r>
      <w:r>
        <w:rPr>
          <w:rFonts w:hint="eastAsia" w:ascii="仿宋_GB2312" w:hAnsi="仿宋_GB2312" w:cs="仿宋_GB2312"/>
          <w:color w:val="auto"/>
          <w:kern w:val="0"/>
          <w:sz w:val="24"/>
          <w:highlight w:val="none"/>
        </w:rPr>
        <w:t>元；</w:t>
      </w:r>
      <w:bookmarkEnd w:id="179"/>
    </w:p>
    <w:p w14:paraId="30365ADE">
      <w:pPr>
        <w:adjustRightInd w:val="0"/>
        <w:snapToGrid w:val="0"/>
        <w:spacing w:line="360" w:lineRule="auto"/>
        <w:ind w:firstLine="464" w:firstLineChars="200"/>
        <w:outlineLvl w:val="0"/>
        <w:rPr>
          <w:rFonts w:hint="eastAsia" w:ascii="仿宋_GB2312" w:hAnsi="仿宋_GB2312" w:cs="仿宋_GB2312"/>
          <w:color w:val="auto"/>
          <w:kern w:val="0"/>
          <w:sz w:val="24"/>
          <w:highlight w:val="none"/>
        </w:rPr>
      </w:pPr>
      <w:bookmarkStart w:id="180" w:name="_Toc22128"/>
      <w:r>
        <w:rPr>
          <w:rFonts w:hint="eastAsia" w:ascii="仿宋_GB2312" w:hAnsi="仿宋_GB2312" w:cs="仿宋_GB2312"/>
          <w:color w:val="auto"/>
          <w:kern w:val="0"/>
          <w:sz w:val="24"/>
          <w:highlight w:val="none"/>
        </w:rPr>
        <w:t>2.履约保证金支付时间：乙方应于本合同签订前按采购文件和本合同约定的支付履约保证金；</w:t>
      </w:r>
      <w:bookmarkEnd w:id="180"/>
    </w:p>
    <w:p w14:paraId="3048BB82">
      <w:pPr>
        <w:adjustRightInd w:val="0"/>
        <w:snapToGrid w:val="0"/>
        <w:spacing w:line="360" w:lineRule="auto"/>
        <w:ind w:firstLine="464" w:firstLineChars="200"/>
        <w:outlineLvl w:val="0"/>
        <w:rPr>
          <w:rFonts w:hint="eastAsia" w:ascii="仿宋_GB2312" w:hAnsi="仿宋_GB2312" w:cs="仿宋_GB2312"/>
          <w:color w:val="auto"/>
          <w:kern w:val="0"/>
          <w:sz w:val="24"/>
          <w:highlight w:val="none"/>
        </w:rPr>
      </w:pPr>
      <w:bookmarkStart w:id="181" w:name="_Toc31879"/>
      <w:r>
        <w:rPr>
          <w:rFonts w:hint="eastAsia" w:ascii="仿宋_GB2312" w:hAnsi="仿宋_GB2312" w:cs="仿宋_GB2312"/>
          <w:color w:val="auto"/>
          <w:kern w:val="0"/>
          <w:sz w:val="24"/>
          <w:highlight w:val="none"/>
        </w:rPr>
        <w:t>3.履约保证金支付方式： 电汇/转账 ；账户信息如下：</w:t>
      </w:r>
      <w:bookmarkEnd w:id="181"/>
    </w:p>
    <w:p w14:paraId="714E414A">
      <w:pPr>
        <w:adjustRightInd w:val="0"/>
        <w:snapToGrid w:val="0"/>
        <w:spacing w:line="360" w:lineRule="auto"/>
        <w:ind w:firstLine="464" w:firstLineChars="200"/>
        <w:outlineLvl w:val="0"/>
        <w:rPr>
          <w:rFonts w:hint="eastAsia" w:ascii="仿宋_GB2312" w:hAnsi="仿宋_GB2312" w:cs="仿宋_GB2312"/>
          <w:color w:val="auto"/>
          <w:kern w:val="0"/>
          <w:sz w:val="24"/>
          <w:highlight w:val="none"/>
        </w:rPr>
      </w:pPr>
      <w:bookmarkStart w:id="182" w:name="_Toc11118"/>
      <w:r>
        <w:rPr>
          <w:rFonts w:hint="eastAsia" w:ascii="仿宋_GB2312" w:hAnsi="仿宋_GB2312" w:cs="仿宋_GB2312"/>
          <w:color w:val="auto"/>
          <w:kern w:val="0"/>
          <w:sz w:val="24"/>
          <w:highlight w:val="none"/>
        </w:rPr>
        <w:t>名称：杭州临江环境能源有限公司</w:t>
      </w:r>
      <w:bookmarkEnd w:id="182"/>
      <w:r>
        <w:rPr>
          <w:rFonts w:hint="eastAsia" w:ascii="仿宋_GB2312" w:hAnsi="仿宋_GB2312" w:cs="仿宋_GB2312"/>
          <w:color w:val="auto"/>
          <w:kern w:val="0"/>
          <w:sz w:val="24"/>
          <w:highlight w:val="none"/>
        </w:rPr>
        <w:t xml:space="preserve">   </w:t>
      </w:r>
    </w:p>
    <w:p w14:paraId="622BB6A2">
      <w:pPr>
        <w:adjustRightInd w:val="0"/>
        <w:snapToGrid w:val="0"/>
        <w:spacing w:line="360" w:lineRule="auto"/>
        <w:ind w:firstLine="464" w:firstLineChars="200"/>
        <w:outlineLvl w:val="0"/>
        <w:rPr>
          <w:rFonts w:hint="eastAsia" w:ascii="仿宋_GB2312" w:hAnsi="仿宋_GB2312" w:cs="仿宋_GB2312"/>
          <w:color w:val="auto"/>
          <w:kern w:val="0"/>
          <w:sz w:val="24"/>
          <w:highlight w:val="none"/>
        </w:rPr>
      </w:pPr>
      <w:bookmarkStart w:id="183" w:name="_Toc8040"/>
      <w:r>
        <w:rPr>
          <w:rFonts w:hint="eastAsia" w:ascii="仿宋_GB2312" w:hAnsi="仿宋_GB2312" w:cs="仿宋_GB2312"/>
          <w:color w:val="auto"/>
          <w:kern w:val="0"/>
          <w:sz w:val="24"/>
          <w:highlight w:val="none"/>
        </w:rPr>
        <w:t>税号：91330100MA2B02NX2L</w:t>
      </w:r>
      <w:bookmarkEnd w:id="183"/>
    </w:p>
    <w:p w14:paraId="420A3D58">
      <w:pPr>
        <w:adjustRightInd w:val="0"/>
        <w:snapToGrid w:val="0"/>
        <w:spacing w:line="360" w:lineRule="auto"/>
        <w:ind w:firstLine="464" w:firstLineChars="200"/>
        <w:outlineLvl w:val="0"/>
        <w:rPr>
          <w:rFonts w:hint="eastAsia" w:ascii="仿宋_GB2312" w:hAnsi="仿宋_GB2312" w:cs="仿宋_GB2312"/>
          <w:color w:val="auto"/>
          <w:kern w:val="0"/>
          <w:sz w:val="24"/>
          <w:highlight w:val="none"/>
        </w:rPr>
      </w:pPr>
      <w:bookmarkStart w:id="184" w:name="_Toc21728"/>
      <w:r>
        <w:rPr>
          <w:rFonts w:hint="eastAsia" w:ascii="仿宋_GB2312" w:hAnsi="仿宋_GB2312" w:cs="仿宋_GB2312"/>
          <w:color w:val="auto"/>
          <w:kern w:val="0"/>
          <w:sz w:val="24"/>
          <w:highlight w:val="none"/>
        </w:rPr>
        <w:t>地址电话：浙江省杭州市钱塘区临江街道红十五路10388-123号 0571-81997919</w:t>
      </w:r>
      <w:bookmarkEnd w:id="184"/>
    </w:p>
    <w:p w14:paraId="1DE0204E">
      <w:pPr>
        <w:adjustRightInd w:val="0"/>
        <w:snapToGrid w:val="0"/>
        <w:spacing w:line="360" w:lineRule="auto"/>
        <w:ind w:firstLine="464" w:firstLineChars="200"/>
        <w:outlineLvl w:val="0"/>
        <w:rPr>
          <w:rFonts w:hint="eastAsia" w:ascii="仿宋_GB2312" w:hAnsi="仿宋_GB2312" w:cs="仿宋_GB2312"/>
          <w:color w:val="auto"/>
          <w:kern w:val="0"/>
          <w:sz w:val="24"/>
          <w:highlight w:val="none"/>
        </w:rPr>
      </w:pPr>
      <w:bookmarkStart w:id="185" w:name="_Toc1527"/>
      <w:r>
        <w:rPr>
          <w:rFonts w:hint="eastAsia" w:ascii="仿宋_GB2312" w:hAnsi="仿宋_GB2312" w:cs="仿宋_GB2312"/>
          <w:color w:val="auto"/>
          <w:kern w:val="0"/>
          <w:sz w:val="24"/>
          <w:highlight w:val="none"/>
        </w:rPr>
        <w:t>开户行及账号：杭州银行大江东支行 3301040160008775754</w:t>
      </w:r>
      <w:bookmarkEnd w:id="185"/>
    </w:p>
    <w:p w14:paraId="3A4400D1">
      <w:pPr>
        <w:adjustRightInd w:val="0"/>
        <w:snapToGrid w:val="0"/>
        <w:spacing w:line="360" w:lineRule="auto"/>
        <w:ind w:firstLine="464" w:firstLineChars="200"/>
        <w:outlineLvl w:val="0"/>
        <w:rPr>
          <w:rFonts w:hint="eastAsia" w:ascii="仿宋_GB2312" w:hAnsi="仿宋_GB2312" w:cs="仿宋_GB2312"/>
          <w:color w:val="auto"/>
          <w:kern w:val="0"/>
          <w:sz w:val="24"/>
          <w:highlight w:val="none"/>
        </w:rPr>
      </w:pPr>
      <w:bookmarkStart w:id="186" w:name="_Toc11556"/>
      <w:r>
        <w:rPr>
          <w:rFonts w:hint="eastAsia" w:ascii="仿宋_GB2312" w:hAnsi="仿宋_GB2312" w:cs="仿宋_GB2312"/>
          <w:color w:val="auto"/>
          <w:kern w:val="0"/>
          <w:sz w:val="24"/>
          <w:highlight w:val="none"/>
        </w:rPr>
        <w:t>4.如果乙方完全不履行合同或未全面履行合同义务，履约保证金不予退还。</w:t>
      </w:r>
      <w:bookmarkEnd w:id="186"/>
    </w:p>
    <w:p w14:paraId="5DE01968">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5.甲方在</w:t>
      </w:r>
      <w:r>
        <w:rPr>
          <w:rFonts w:hint="eastAsia" w:ascii="仿宋_GB2312" w:hAnsi="仿宋_GB2312" w:cs="仿宋_GB2312"/>
          <w:color w:val="auto"/>
          <w:sz w:val="24"/>
          <w:highlight w:val="none"/>
          <w:u w:val="single"/>
        </w:rPr>
        <w:t>6台垃圾吊改造通过</w:t>
      </w:r>
      <w:r>
        <w:rPr>
          <w:rFonts w:hint="eastAsia" w:ascii="仿宋_GB2312" w:hAnsi="仿宋_GB2312" w:cs="仿宋_GB2312"/>
          <w:color w:val="auto"/>
          <w:kern w:val="0"/>
          <w:sz w:val="24"/>
          <w:highlight w:val="none"/>
          <w:u w:val="single"/>
        </w:rPr>
        <w:t>性能验收后</w:t>
      </w:r>
      <w:r>
        <w:rPr>
          <w:rFonts w:hint="eastAsia" w:ascii="仿宋_GB2312" w:hAnsi="仿宋_GB2312" w:cs="仿宋_GB2312"/>
          <w:color w:val="auto"/>
          <w:kern w:val="0"/>
          <w:sz w:val="24"/>
          <w:highlight w:val="none"/>
        </w:rPr>
        <w:t>并收到履约保证金退还申请书原件后</w:t>
      </w:r>
      <w:r>
        <w:rPr>
          <w:rFonts w:hint="eastAsia" w:ascii="仿宋_GB2312" w:hAnsi="仿宋_GB2312" w:cs="仿宋_GB2312"/>
          <w:color w:val="auto"/>
          <w:sz w:val="24"/>
          <w:highlight w:val="none"/>
        </w:rPr>
        <w:t>及时退还履约保证金。甲方在项目通过验收之日起 30个工作日内将履约保证金无息退还乙方。</w:t>
      </w:r>
      <w:r>
        <w:rPr>
          <w:rFonts w:hint="eastAsia" w:ascii="仿宋_GB2312" w:hAnsi="仿宋_GB2312" w:cs="仿宋_GB2312"/>
          <w:color w:val="auto"/>
          <w:sz w:val="24"/>
          <w:highlight w:val="none"/>
          <w:u w:val="single"/>
        </w:rPr>
        <w:t>若甲方认为乙方改造虽然验收合格且无遗留问题，但整理效果不佳需要提前终止合同的，甲方全额退还乙方履约保证金。</w:t>
      </w:r>
    </w:p>
    <w:p w14:paraId="793B8F8E">
      <w:pPr>
        <w:adjustRightInd w:val="0"/>
        <w:snapToGrid w:val="0"/>
        <w:spacing w:line="360" w:lineRule="auto"/>
        <w:ind w:firstLine="464" w:firstLineChars="200"/>
        <w:outlineLvl w:val="0"/>
        <w:rPr>
          <w:rFonts w:hint="eastAsia" w:ascii="仿宋_GB2312" w:hAnsi="仿宋_GB2312" w:cs="仿宋_GB2312"/>
          <w:color w:val="auto"/>
          <w:sz w:val="24"/>
          <w:highlight w:val="none"/>
        </w:rPr>
      </w:pPr>
      <w:bookmarkStart w:id="187" w:name="_Toc15218"/>
      <w:r>
        <w:rPr>
          <w:rFonts w:hint="eastAsia" w:ascii="仿宋_GB2312" w:hAnsi="仿宋_GB2312" w:cs="仿宋_GB2312"/>
          <w:color w:val="auto"/>
          <w:sz w:val="24"/>
          <w:highlight w:val="none"/>
        </w:rPr>
        <w:t>6.</w:t>
      </w:r>
      <w:r>
        <w:rPr>
          <w:rFonts w:hint="eastAsia" w:ascii="仿宋_GB2312" w:hAnsi="仿宋_GB2312" w:cs="仿宋_GB2312"/>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bookmarkEnd w:id="187"/>
    </w:p>
    <w:bookmarkEnd w:id="168"/>
    <w:bookmarkEnd w:id="169"/>
    <w:bookmarkEnd w:id="170"/>
    <w:p w14:paraId="7CFF468C">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188" w:name="_Toc11126"/>
      <w:r>
        <w:rPr>
          <w:rFonts w:hint="eastAsia" w:ascii="仿宋_GB2312" w:hAnsi="仿宋_GB2312" w:cs="仿宋_GB2312"/>
          <w:b/>
          <w:color w:val="auto"/>
          <w:sz w:val="24"/>
          <w:highlight w:val="none"/>
        </w:rPr>
        <w:t>八、预付款</w:t>
      </w:r>
      <w:bookmarkEnd w:id="188"/>
    </w:p>
    <w:p w14:paraId="684274C0">
      <w:pPr>
        <w:pStyle w:val="54"/>
        <w:adjustRightInd w:val="0"/>
        <w:snapToGrid w:val="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甲方</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sym w:font="Wingdings" w:char="00A8"/>
      </w:r>
      <w:r>
        <w:rPr>
          <w:rFonts w:hint="eastAsia" w:ascii="仿宋_GB2312" w:hAnsi="仿宋_GB2312" w:eastAsia="仿宋_GB2312" w:cs="仿宋_GB2312"/>
          <w:color w:val="auto"/>
          <w:highlight w:val="none"/>
          <w:u w:val="single"/>
        </w:rPr>
        <w:t xml:space="preserve">是   </w:t>
      </w:r>
      <w:r>
        <w:rPr>
          <w:rFonts w:hint="eastAsia" w:ascii="仿宋_GB2312" w:hAnsi="仿宋_GB2312" w:eastAsia="仿宋_GB2312" w:cs="仿宋_GB2312"/>
          <w:color w:val="auto"/>
          <w:highlight w:val="none"/>
          <w:u w:val="single"/>
        </w:rPr>
        <w:sym w:font="Wingdings" w:char="00FE"/>
      </w:r>
      <w:r>
        <w:rPr>
          <w:rFonts w:hint="eastAsia" w:ascii="仿宋_GB2312" w:hAnsi="仿宋_GB2312" w:eastAsia="仿宋_GB2312" w:cs="仿宋_GB2312"/>
          <w:color w:val="auto"/>
          <w:highlight w:val="none"/>
          <w:u w:val="single"/>
        </w:rPr>
        <w:t xml:space="preserve">否  </w:t>
      </w:r>
      <w:r>
        <w:rPr>
          <w:rFonts w:hint="eastAsia" w:ascii="仿宋_GB2312" w:hAnsi="仿宋_GB2312" w:eastAsia="仿宋_GB2312" w:cs="仿宋_GB2312"/>
          <w:color w:val="auto"/>
          <w:highlight w:val="none"/>
        </w:rPr>
        <w:t>需要支付预付款。若需要支付预付款的，则：</w:t>
      </w:r>
    </w:p>
    <w:p w14:paraId="5885C862">
      <w:pPr>
        <w:adjustRightInd w:val="0"/>
        <w:snapToGrid w:val="0"/>
        <w:spacing w:line="360" w:lineRule="auto"/>
        <w:ind w:firstLine="464" w:firstLineChars="200"/>
        <w:rPr>
          <w:rFonts w:hint="eastAsia"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1.预付款比例、支付方式、时间：</w:t>
      </w:r>
      <w:r>
        <w:rPr>
          <w:rFonts w:hint="eastAsia" w:ascii="仿宋_GB2312" w:hAnsi="仿宋_GB2312" w:cs="仿宋_GB2312"/>
          <w:color w:val="auto"/>
          <w:kern w:val="0"/>
          <w:sz w:val="24"/>
          <w:highlight w:val="none"/>
          <w:u w:val="single"/>
        </w:rPr>
        <w:t xml:space="preserve">    /     </w:t>
      </w:r>
      <w:r>
        <w:rPr>
          <w:rFonts w:hint="eastAsia" w:ascii="仿宋_GB2312" w:hAnsi="仿宋_GB2312" w:cs="仿宋_GB2312"/>
          <w:color w:val="auto"/>
          <w:kern w:val="0"/>
          <w:sz w:val="24"/>
          <w:highlight w:val="none"/>
        </w:rPr>
        <w:t>；</w:t>
      </w:r>
    </w:p>
    <w:p w14:paraId="1F654141">
      <w:pPr>
        <w:pStyle w:val="54"/>
        <w:adjustRightInd w:val="0"/>
        <w:snapToGrid w:val="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2.预付款的扣回方式：</w:t>
      </w:r>
      <w:r>
        <w:rPr>
          <w:rFonts w:hint="eastAsia" w:ascii="仿宋_GB2312" w:hAnsi="仿宋_GB2312" w:eastAsia="仿宋_GB2312" w:cs="仿宋_GB2312"/>
          <w:color w:val="auto"/>
          <w:highlight w:val="none"/>
          <w:u w:val="single"/>
        </w:rPr>
        <w:t xml:space="preserve">     /      </w:t>
      </w:r>
      <w:r>
        <w:rPr>
          <w:rFonts w:hint="eastAsia" w:ascii="仿宋_GB2312" w:hAnsi="仿宋_GB2312" w:eastAsia="仿宋_GB2312" w:cs="仿宋_GB2312"/>
          <w:color w:val="auto"/>
          <w:highlight w:val="none"/>
        </w:rPr>
        <w:t>；</w:t>
      </w:r>
    </w:p>
    <w:p w14:paraId="0A851270">
      <w:pPr>
        <w:pStyle w:val="54"/>
        <w:adjustRightInd w:val="0"/>
        <w:snapToGrid w:val="0"/>
        <w:spacing w:before="0" w:beforeAutospacing="0" w:after="0" w:afterAutospacing="0" w:line="360" w:lineRule="auto"/>
        <w:ind w:firstLine="48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3.预付款的担保措施：</w:t>
      </w:r>
      <w:r>
        <w:rPr>
          <w:rFonts w:hint="eastAsia" w:ascii="仿宋_GB2312" w:hAnsi="仿宋_GB2312" w:eastAsia="仿宋_GB2312" w:cs="仿宋_GB2312"/>
          <w:color w:val="auto"/>
          <w:highlight w:val="none"/>
          <w:u w:val="single"/>
        </w:rPr>
        <w:t xml:space="preserve">    /   </w:t>
      </w:r>
      <w:r>
        <w:rPr>
          <w:rFonts w:hint="eastAsia" w:ascii="仿宋_GB2312" w:hAnsi="仿宋_GB2312" w:eastAsia="仿宋_GB2312" w:cs="仿宋_GB2312"/>
          <w:color w:val="auto"/>
          <w:highlight w:val="none"/>
        </w:rPr>
        <w:t>。</w:t>
      </w:r>
    </w:p>
    <w:p w14:paraId="2E211287">
      <w:pPr>
        <w:pStyle w:val="54"/>
        <w:adjustRightInd w:val="0"/>
        <w:snapToGrid w:val="0"/>
        <w:spacing w:before="0" w:beforeAutospacing="0" w:after="0" w:afterAutospacing="0" w:line="360" w:lineRule="auto"/>
        <w:ind w:firstLine="48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九、资金支付</w:t>
      </w:r>
    </w:p>
    <w:p w14:paraId="45D09597">
      <w:pPr>
        <w:pStyle w:val="54"/>
        <w:adjustRightInd w:val="0"/>
        <w:snapToGrid w:val="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1.甲方应严格履行合同，及时组织验收，验收合格后及时将合同款支付完毕。对于满足合同约定支付条件的，甲方自收到合格发票后</w:t>
      </w:r>
      <w:r>
        <w:rPr>
          <w:rFonts w:hint="eastAsia" w:ascii="仿宋_GB2312" w:hAnsi="仿宋_GB2312" w:eastAsia="仿宋_GB2312" w:cs="仿宋_GB2312"/>
          <w:b/>
          <w:bCs/>
          <w:color w:val="auto"/>
          <w:highlight w:val="none"/>
          <w:u w:val="single"/>
        </w:rPr>
        <w:t>30</w:t>
      </w:r>
      <w:r>
        <w:rPr>
          <w:rFonts w:hint="eastAsia" w:ascii="仿宋_GB2312" w:hAnsi="仿宋_GB2312" w:eastAsia="仿宋_GB2312" w:cs="仿宋_GB2312"/>
          <w:color w:val="auto"/>
          <w:highlight w:val="none"/>
        </w:rPr>
        <w:t>个工作日内将资金支付到合同约定的乙方账户。</w:t>
      </w:r>
      <w:r>
        <w:rPr>
          <w:rFonts w:hint="eastAsia" w:ascii="仿宋_GB2312" w:hAnsi="仿宋_GB2312" w:eastAsia="仿宋_GB2312" w:cs="仿宋_GB2312"/>
          <w:b/>
          <w:bCs/>
          <w:color w:val="auto"/>
          <w:highlight w:val="none"/>
        </w:rPr>
        <w:t>若支付金额中需要扣除违约金的，乙方需开具全额发票。甲方支付扣除违约金后的金额，甲方向乙方提供违约金收据。</w:t>
      </w:r>
      <w:r>
        <w:rPr>
          <w:rFonts w:hint="eastAsia" w:ascii="仿宋_GB2312" w:hAnsi="仿宋_GB2312" w:eastAsia="仿宋_GB2312" w:cs="仿宋_GB2312"/>
          <w:color w:val="auto"/>
          <w:highlight w:val="none"/>
        </w:rPr>
        <w:t>如乙方提供的发票存在问题，甲方有权延迟付款且不承担任何责任。</w:t>
      </w:r>
    </w:p>
    <w:p w14:paraId="6E07A5CF">
      <w:pPr>
        <w:pStyle w:val="54"/>
        <w:adjustRightInd w:val="0"/>
        <w:snapToGrid w:val="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2.本合同质保期限：</w:t>
      </w:r>
      <w:r>
        <w:rPr>
          <w:rFonts w:hint="eastAsia" w:ascii="仿宋_GB2312" w:hAnsi="仿宋_GB2312" w:eastAsia="仿宋_GB2312" w:cs="仿宋_GB2312"/>
          <w:color w:val="auto"/>
          <w:highlight w:val="none"/>
          <w:u w:val="single"/>
        </w:rPr>
        <w:t>单台垃圾吊的质保期</w:t>
      </w:r>
      <w:r>
        <w:rPr>
          <w:rFonts w:hint="eastAsia" w:ascii="仿宋_GB2312" w:hAnsi="仿宋_GB2312" w:eastAsia="仿宋_GB2312" w:cs="仿宋_GB2312"/>
          <w:color w:val="auto"/>
          <w:highlight w:val="none"/>
        </w:rPr>
        <w:t>为自验收合格后</w:t>
      </w:r>
      <w:r>
        <w:rPr>
          <w:rFonts w:hint="eastAsia" w:ascii="仿宋_GB2312" w:hAnsi="仿宋_GB2312" w:eastAsia="仿宋_GB2312" w:cs="仿宋_GB2312"/>
          <w:color w:val="auto"/>
          <w:highlight w:val="none"/>
          <w:u w:val="single"/>
        </w:rPr>
        <w:t>24</w:t>
      </w:r>
      <w:r>
        <w:rPr>
          <w:rFonts w:hint="eastAsia" w:ascii="仿宋_GB2312" w:hAnsi="仿宋_GB2312" w:eastAsia="仿宋_GB2312" w:cs="仿宋_GB2312"/>
          <w:color w:val="auto"/>
          <w:highlight w:val="none"/>
        </w:rPr>
        <w:t xml:space="preserve">个月。本合同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sym w:font="Wingdings" w:char="00A8"/>
      </w:r>
      <w:r>
        <w:rPr>
          <w:rFonts w:hint="eastAsia" w:ascii="仿宋_GB2312" w:hAnsi="仿宋_GB2312" w:eastAsia="仿宋_GB2312" w:cs="仿宋_GB2312"/>
          <w:color w:val="auto"/>
          <w:highlight w:val="none"/>
          <w:u w:val="single"/>
        </w:rPr>
        <w:t xml:space="preserve">是  </w:t>
      </w:r>
      <w:r>
        <w:rPr>
          <w:rFonts w:hint="eastAsia" w:ascii="仿宋_GB2312" w:hAnsi="仿宋_GB2312" w:eastAsia="仿宋_GB2312" w:cs="仿宋_GB2312"/>
          <w:color w:val="auto"/>
          <w:highlight w:val="none"/>
          <w:u w:val="single"/>
        </w:rPr>
        <w:sym w:font="Wingdings" w:char="00FE"/>
      </w:r>
      <w:r>
        <w:rPr>
          <w:rFonts w:hint="eastAsia" w:ascii="仿宋_GB2312" w:hAnsi="仿宋_GB2312" w:eastAsia="仿宋_GB2312" w:cs="仿宋_GB2312"/>
          <w:color w:val="auto"/>
          <w:highlight w:val="none"/>
          <w:u w:val="single"/>
        </w:rPr>
        <w:t xml:space="preserve">否 </w:t>
      </w:r>
      <w:r>
        <w:rPr>
          <w:rFonts w:hint="eastAsia" w:ascii="仿宋_GB2312" w:hAnsi="仿宋_GB2312" w:eastAsia="仿宋_GB2312" w:cs="仿宋_GB2312"/>
          <w:b/>
          <w:bCs/>
          <w:color w:val="auto"/>
          <w:highlight w:val="none"/>
          <w:u w:val="single"/>
        </w:rPr>
        <w:t xml:space="preserve"> </w:t>
      </w:r>
      <w:r>
        <w:rPr>
          <w:rFonts w:hint="eastAsia" w:ascii="仿宋_GB2312" w:hAnsi="仿宋_GB2312" w:eastAsia="仿宋_GB2312" w:cs="仿宋_GB2312"/>
          <w:color w:val="auto"/>
          <w:highlight w:val="none"/>
        </w:rPr>
        <w:t>有质保金。若有质保金的，则：</w:t>
      </w:r>
    </w:p>
    <w:p w14:paraId="3670DBE1">
      <w:pPr>
        <w:pStyle w:val="54"/>
        <w:adjustRightInd w:val="0"/>
        <w:snapToGrid w:val="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（1）质保金的比例为合同金额的</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b/>
          <w:bCs/>
          <w:i/>
          <w:iCs/>
          <w:color w:val="auto"/>
          <w:highlight w:val="none"/>
          <w:u w:val="single"/>
        </w:rPr>
        <w:t xml:space="preserve"> /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22B00CF3">
      <w:pPr>
        <w:pStyle w:val="54"/>
        <w:adjustRightInd w:val="0"/>
        <w:snapToGrid w:val="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（2）质保金支付条件：质保期内无任何质量问题，双方无任何遗留问题 ，质保期结束且甲方收到乙方开具的相应额度增值税专用发票（如有）后30天内甲方无息支付。</w:t>
      </w:r>
    </w:p>
    <w:p w14:paraId="56ED8152">
      <w:pPr>
        <w:pStyle w:val="54"/>
        <w:adjustRightInd w:val="0"/>
        <w:snapToGrid w:val="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3.本项目资金支付的方式、时间和条件采用以下第</w:t>
      </w:r>
      <w:r>
        <w:rPr>
          <w:rFonts w:hint="eastAsia" w:ascii="仿宋_GB2312" w:hAnsi="仿宋_GB2312" w:eastAsia="仿宋_GB2312" w:cs="仿宋_GB2312"/>
          <w:color w:val="auto"/>
          <w:highlight w:val="none"/>
          <w:u w:val="single"/>
        </w:rPr>
        <w:t xml:space="preserve"> （4）</w:t>
      </w:r>
      <w:r>
        <w:rPr>
          <w:rFonts w:hint="eastAsia" w:ascii="仿宋_GB2312" w:hAnsi="仿宋_GB2312" w:eastAsia="仿宋_GB2312" w:cs="仿宋_GB2312"/>
          <w:color w:val="auto"/>
          <w:highlight w:val="none"/>
        </w:rPr>
        <w:t>条款规定：</w:t>
      </w:r>
    </w:p>
    <w:p w14:paraId="708705B8">
      <w:pPr>
        <w:pStyle w:val="54"/>
        <w:adjustRightInd w:val="0"/>
        <w:snapToGrid w:val="0"/>
        <w:spacing w:before="0" w:beforeAutospacing="0" w:after="0" w:afterAutospacing="0" w:line="360" w:lineRule="auto"/>
        <w:ind w:firstLine="48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ascii="仿宋_GB2312" w:hAnsi="仿宋_GB2312" w:eastAsia="仿宋_GB2312" w:cs="仿宋_GB2312"/>
          <w:b/>
          <w:bCs/>
          <w:color w:val="auto"/>
          <w:highlight w:val="none"/>
        </w:rPr>
        <w:t>按验收特别约定条款、甲方制度规定（以要求较高者为准）执行，如前述条款/规定无考核要求、标准的，乙方于次月15日前向甲方提供增值税专用发票，</w:t>
      </w:r>
      <w:r>
        <w:rPr>
          <w:rFonts w:hint="eastAsia" w:ascii="仿宋_GB2312" w:hAnsi="仿宋_GB2312" w:eastAsia="仿宋_GB2312" w:cs="仿宋_GB2312"/>
          <w:color w:val="auto"/>
          <w:highlight w:val="none"/>
          <w:u w:val="single"/>
        </w:rPr>
        <w:t>甲方收到乙方提供的增值税专用发票后，甲方在本合同约定时间内完成支付；</w:t>
      </w:r>
    </w:p>
    <w:p w14:paraId="06F3695F">
      <w:pPr>
        <w:pStyle w:val="54"/>
        <w:adjustRightInd w:val="0"/>
        <w:snapToGrid w:val="0"/>
        <w:spacing w:before="0" w:beforeAutospacing="0" w:after="0" w:afterAutospacing="0" w:line="360" w:lineRule="auto"/>
        <w:ind w:firstLine="48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ascii="仿宋_GB2312" w:hAnsi="仿宋_GB2312" w:eastAsia="仿宋_GB2312" w:cs="仿宋_GB2312"/>
          <w:b/>
          <w:bCs/>
          <w:color w:val="auto"/>
          <w:highlight w:val="none"/>
        </w:rPr>
        <w:t>按验收特别约定条款、甲方制度规定（以要求较高者为准）执行，如前述条款/规定无考核要求、标准的，乙方于下一季度开始后30日内向甲方提供增值税专用发票，</w:t>
      </w:r>
      <w:r>
        <w:rPr>
          <w:rFonts w:hint="eastAsia" w:ascii="仿宋_GB2312" w:hAnsi="仿宋_GB2312" w:eastAsia="仿宋_GB2312" w:cs="仿宋_GB2312"/>
          <w:color w:val="auto"/>
          <w:highlight w:val="none"/>
          <w:u w:val="single"/>
        </w:rPr>
        <w:t>甲方收到乙方提供的增值税专用发票后，甲方在本合同约定时间内完成支付；</w:t>
      </w:r>
    </w:p>
    <w:p w14:paraId="431E0900">
      <w:pPr>
        <w:pStyle w:val="54"/>
        <w:adjustRightInd w:val="0"/>
        <w:snapToGrid w:val="0"/>
        <w:spacing w:before="0" w:beforeAutospacing="0" w:after="0" w:afterAutospacing="0" w:line="360" w:lineRule="auto"/>
        <w:ind w:firstLine="464"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single"/>
        </w:rPr>
        <w:t>（3）一次性付款，经甲方验收合格后，甲方收到乙方提供的增值税专用发票后，甲方在本合同约定时间内完成支付。</w:t>
      </w:r>
      <w:r>
        <w:rPr>
          <w:rFonts w:hint="eastAsia" w:ascii="仿宋_GB2312" w:hAnsi="仿宋_GB2312" w:eastAsia="仿宋_GB2312" w:cs="仿宋_GB2312"/>
          <w:color w:val="auto"/>
          <w:highlight w:val="none"/>
        </w:rPr>
        <w:t xml:space="preserve">     </w:t>
      </w:r>
    </w:p>
    <w:p w14:paraId="724C1445">
      <w:pPr>
        <w:pStyle w:val="54"/>
        <w:adjustRightInd w:val="0"/>
        <w:snapToGrid w:val="0"/>
        <w:spacing w:before="0" w:beforeAutospacing="0" w:after="0" w:afterAutospacing="0" w:line="360" w:lineRule="auto"/>
        <w:ind w:firstLine="464" w:firstLineChars="20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color w:val="auto"/>
          <w:highlight w:val="none"/>
          <w:u w:val="single"/>
        </w:rPr>
        <w:t>其他付款方式：按单台改造费用分次支付。双方确定启动单台垃圾吊改造工作，乙方提供10%单台垃圾吊改造费用金额的发票后，甲方在30日内完成支付；单台改造</w:t>
      </w:r>
      <w:r>
        <w:rPr>
          <w:rFonts w:hint="eastAsia" w:ascii="仿宋_GB2312" w:hAnsi="仿宋_GB2312" w:eastAsia="仿宋_GB2312" w:cs="仿宋_GB2312"/>
          <w:color w:val="auto"/>
          <w:highlight w:val="none"/>
          <w:u w:val="single"/>
          <w:lang w:val="en-US" w:eastAsia="zh-CN"/>
        </w:rPr>
        <w:t>性能</w:t>
      </w:r>
      <w:r>
        <w:rPr>
          <w:rFonts w:hint="eastAsia" w:ascii="仿宋_GB2312" w:hAnsi="仿宋_GB2312" w:eastAsia="仿宋_GB2312" w:cs="仿宋_GB2312"/>
          <w:color w:val="auto"/>
          <w:highlight w:val="none"/>
          <w:u w:val="single"/>
        </w:rPr>
        <w:t>验收合格后，乙方提供40%单台改造费用金额的发票后，甲方在30日内完成支付；单台改造垃圾吊稳定运行一年无遗留问题，乙方提供20%单台改造费用金额的发票后，甲方在30日内完成支付；单台改造垃圾吊质保期结束后无遗留问题，乙方提供30%单台改造费用金额的发票后，甲方在30日内完成支付。</w:t>
      </w:r>
    </w:p>
    <w:p w14:paraId="6BB2A203">
      <w:pPr>
        <w:adjustRightInd w:val="0"/>
        <w:snapToGrid w:val="0"/>
        <w:spacing w:line="360" w:lineRule="auto"/>
        <w:ind w:firstLine="464" w:firstLineChars="200"/>
        <w:rPr>
          <w:rFonts w:hint="eastAsia" w:ascii="仿宋_GB2312" w:hAnsi="仿宋_GB2312" w:cs="仿宋_GB2312"/>
          <w:color w:val="auto"/>
          <w:sz w:val="24"/>
          <w:highlight w:val="none"/>
          <w:u w:val="single"/>
        </w:rPr>
      </w:pPr>
      <w:r>
        <w:rPr>
          <w:rFonts w:hint="eastAsia" w:ascii="仿宋_GB2312" w:hAnsi="仿宋_GB2312" w:cs="仿宋_GB2312"/>
          <w:b/>
          <w:color w:val="auto"/>
          <w:sz w:val="24"/>
          <w:highlight w:val="none"/>
        </w:rPr>
        <w:t>十、</w:t>
      </w:r>
      <w:bookmarkEnd w:id="171"/>
      <w:bookmarkEnd w:id="172"/>
      <w:bookmarkEnd w:id="173"/>
      <w:bookmarkEnd w:id="174"/>
      <w:bookmarkEnd w:id="175"/>
      <w:bookmarkStart w:id="189" w:name="_Toc8586"/>
      <w:bookmarkStart w:id="190" w:name="_Toc3079"/>
      <w:bookmarkStart w:id="191" w:name="_Toc2375"/>
      <w:bookmarkStart w:id="192" w:name="_Toc5698"/>
      <w:bookmarkStart w:id="193" w:name="_Toc24662"/>
      <w:r>
        <w:rPr>
          <w:rFonts w:hint="eastAsia" w:ascii="仿宋_GB2312" w:hAnsi="仿宋_GB2312" w:cs="仿宋_GB2312"/>
          <w:b/>
          <w:color w:val="auto"/>
          <w:sz w:val="24"/>
          <w:highlight w:val="none"/>
        </w:rPr>
        <w:t>违约责任</w:t>
      </w:r>
      <w:bookmarkEnd w:id="189"/>
      <w:bookmarkEnd w:id="190"/>
      <w:bookmarkEnd w:id="191"/>
      <w:bookmarkEnd w:id="192"/>
      <w:bookmarkEnd w:id="193"/>
    </w:p>
    <w:p w14:paraId="3EFE2C2D">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1.对于验收不合格的货物，双方按照以下方式处理：</w:t>
      </w:r>
    </w:p>
    <w:p w14:paraId="37F18128">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（1）甲方尚未使用的，乙方应当</w:t>
      </w:r>
      <w:r>
        <w:rPr>
          <w:rFonts w:hint="eastAsia" w:ascii="仿宋_GB2312" w:hAnsi="仿宋_GB2312" w:cs="仿宋_GB2312"/>
          <w:color w:val="auto"/>
          <w:sz w:val="24"/>
          <w:highlight w:val="none"/>
          <w:u w:val="single"/>
        </w:rPr>
        <w:t>在5个工作</w:t>
      </w:r>
      <w:r>
        <w:rPr>
          <w:rFonts w:hint="eastAsia" w:ascii="仿宋_GB2312" w:hAnsi="仿宋_GB2312" w:cs="仿宋_GB2312"/>
          <w:color w:val="auto"/>
          <w:sz w:val="24"/>
          <w:highlight w:val="none"/>
        </w:rPr>
        <w:t>日自费取回，未取回的甲方有权在履约保证金或者应付乙方款项中视情形收取场地费（如需收取按200元/天收取场地费），同时甲方不负有保管责任。同时乙方应无条件在</w:t>
      </w:r>
      <w:r>
        <w:rPr>
          <w:rFonts w:hint="eastAsia" w:ascii="仿宋_GB2312" w:hAnsi="仿宋_GB2312" w:cs="仿宋_GB2312"/>
          <w:b/>
          <w:bCs/>
          <w:color w:val="auto"/>
          <w:sz w:val="24"/>
          <w:highlight w:val="none"/>
          <w:u w:val="single"/>
        </w:rPr>
        <w:t>5个工作日</w:t>
      </w:r>
      <w:r>
        <w:rPr>
          <w:rFonts w:hint="eastAsia" w:ascii="仿宋_GB2312" w:hAnsi="仿宋_GB2312" w:cs="仿宋_GB2312"/>
          <w:color w:val="auto"/>
          <w:sz w:val="24"/>
          <w:highlight w:val="none"/>
        </w:rPr>
        <w:t>内更换合格的货物至甲方，由此产生的运输费、装卸费等一切费用由乙方承担。如乙方拒绝或逾期更换的，视同逾期交货，应承担逾期交货责任。在乙方更换后的货物验收合格前，相应货款暂不予支付。</w:t>
      </w:r>
    </w:p>
    <w:p w14:paraId="46F4A7F5">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甲方已经使用但主要参数验收不合格的，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向乙方追究由此对甲方生产运行造成的影响或损失。</w:t>
      </w:r>
    </w:p>
    <w:p w14:paraId="32DC4656">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为避免争议，乙方确认其已明确知晓本合同下货物系用于</w:t>
      </w:r>
      <w:r>
        <w:rPr>
          <w:rFonts w:hint="eastAsia" w:ascii="仿宋_GB2312" w:hAnsi="仿宋_GB2312" w:cs="仿宋_GB2312"/>
          <w:color w:val="auto"/>
          <w:sz w:val="24"/>
          <w:highlight w:val="none"/>
          <w:u w:val="single"/>
        </w:rPr>
        <w:t xml:space="preserve">  垃圾吊改造服务   </w:t>
      </w:r>
      <w:r>
        <w:rPr>
          <w:rFonts w:hint="eastAsia" w:ascii="仿宋_GB2312" w:hAnsi="仿宋_GB2312" w:cs="仿宋_GB2312"/>
          <w:color w:val="auto"/>
          <w:sz w:val="24"/>
          <w:highlight w:val="none"/>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7830D09">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2.除不可抗力外，如果乙方没有按照本合同约定的期限、地点和方式交付服务成果或者实施服务，那么甲方可要求乙方支付违约金，迟延履行违约金每迟延履行一日按合同未完成部分的总金额的</w:t>
      </w:r>
      <w:r>
        <w:rPr>
          <w:rFonts w:hint="eastAsia" w:ascii="仿宋_GB2312" w:hAnsi="仿宋_GB2312" w:cs="仿宋_GB2312"/>
          <w:b/>
          <w:bCs/>
          <w:color w:val="auto"/>
          <w:sz w:val="24"/>
          <w:highlight w:val="none"/>
          <w:u w:val="single"/>
        </w:rPr>
        <w:t>0.1</w:t>
      </w:r>
      <w:r>
        <w:rPr>
          <w:rFonts w:hint="eastAsia" w:ascii="仿宋_GB2312" w:hAnsi="仿宋_GB2312" w:cs="仿宋_GB2312"/>
          <w:b/>
          <w:bCs/>
          <w:color w:val="auto"/>
          <w:sz w:val="24"/>
          <w:highlight w:val="none"/>
        </w:rPr>
        <w:t>%</w:t>
      </w:r>
      <w:r>
        <w:rPr>
          <w:rFonts w:hint="eastAsia" w:ascii="仿宋_GB2312" w:hAnsi="仿宋_GB2312" w:cs="仿宋_GB2312"/>
          <w:color w:val="auto"/>
          <w:sz w:val="24"/>
          <w:highlight w:val="none"/>
        </w:rPr>
        <w:t>计算，迟延履行达到15天的，甲方有权单方解除本合同，并要求乙方一次性承担</w:t>
      </w:r>
      <w:r>
        <w:rPr>
          <w:rFonts w:hint="eastAsia" w:ascii="仿宋_GB2312" w:hAnsi="仿宋_GB2312" w:cs="仿宋_GB2312"/>
          <w:color w:val="auto"/>
          <w:sz w:val="24"/>
          <w:highlight w:val="none"/>
          <w:u w:val="single"/>
        </w:rPr>
        <w:t>（□本合同累计已发生金额/□合同约定总金额/☑合同未完成部分的总金额）</w:t>
      </w:r>
      <w:r>
        <w:rPr>
          <w:rFonts w:hint="eastAsia" w:ascii="仿宋_GB2312" w:hAnsi="仿宋_GB2312" w:cs="仿宋_GB2312"/>
          <w:color w:val="auto"/>
          <w:sz w:val="24"/>
          <w:highlight w:val="none"/>
        </w:rPr>
        <w:t>30%的违约金。经双方同意延期的情形不在此列。</w:t>
      </w:r>
    </w:p>
    <w:p w14:paraId="0997EA2A">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具体按以下情形执行：</w:t>
      </w:r>
    </w:p>
    <w:p w14:paraId="23FF0335">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未中止或未解除合同的，乙方未及时支付违约金的，甲方有权优先从履约保证金扣除违约金，不足部分从已供货未结算的货款中扣除；若无履约保证金的，甲方有权直接从已供货未结算的货款中扣除违约金。</w:t>
      </w:r>
    </w:p>
    <w:p w14:paraId="092AD9B4">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（2）中止或解除合同的，乙方未及时支付违约金的，甲方有权直接从已供货未结算的货款中扣除违约金。</w:t>
      </w:r>
    </w:p>
    <w:p w14:paraId="4BEE92E0">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3.服务中涉及的货物，除不可抗力外，如果乙方没有按照本合同约定的期限、地点和方式交付货物，那么甲方可要求乙方支付违约金，迟延履行违约金每迟延履行一日应交付而未交付货物的含税总金额的</w:t>
      </w:r>
      <w:r>
        <w:rPr>
          <w:rFonts w:hint="eastAsia" w:ascii="仿宋_GB2312" w:hAnsi="仿宋_GB2312" w:cs="仿宋_GB2312"/>
          <w:color w:val="auto"/>
          <w:sz w:val="24"/>
          <w:highlight w:val="none"/>
          <w:u w:val="single"/>
        </w:rPr>
        <w:t xml:space="preserve"> </w:t>
      </w:r>
      <w:r>
        <w:rPr>
          <w:rFonts w:hint="eastAsia" w:ascii="仿宋_GB2312" w:hAnsi="仿宋_GB2312" w:cs="仿宋_GB2312"/>
          <w:b/>
          <w:bCs/>
          <w:color w:val="auto"/>
          <w:sz w:val="24"/>
          <w:highlight w:val="none"/>
          <w:u w:val="single"/>
        </w:rPr>
        <w:t xml:space="preserve">0.1 </w:t>
      </w:r>
      <w:r>
        <w:rPr>
          <w:rFonts w:hint="eastAsia" w:ascii="仿宋_GB2312" w:hAnsi="仿宋_GB2312" w:cs="仿宋_GB2312"/>
          <w:color w:val="auto"/>
          <w:sz w:val="24"/>
          <w:highlight w:val="none"/>
        </w:rPr>
        <w:t xml:space="preserve">%计算，迟延交付货物 </w:t>
      </w:r>
      <w:r>
        <w:rPr>
          <w:rFonts w:hint="eastAsia" w:ascii="仿宋_GB2312" w:hAnsi="仿宋_GB2312" w:cs="仿宋_GB2312"/>
          <w:color w:val="auto"/>
          <w:sz w:val="24"/>
          <w:highlight w:val="none"/>
          <w:u w:val="single"/>
        </w:rPr>
        <w:t xml:space="preserve"> 15 </w:t>
      </w:r>
      <w:r>
        <w:rPr>
          <w:rFonts w:hint="eastAsia" w:ascii="仿宋_GB2312" w:hAnsi="仿宋_GB2312" w:cs="仿宋_GB2312"/>
          <w:color w:val="auto"/>
          <w:sz w:val="24"/>
          <w:highlight w:val="none"/>
        </w:rPr>
        <w:t>天的，甲方有权单方解除本合同，并要求乙方一次性承担</w:t>
      </w:r>
      <w:r>
        <w:rPr>
          <w:rFonts w:hint="eastAsia" w:ascii="仿宋_GB2312" w:hAnsi="仿宋_GB2312" w:cs="仿宋_GB2312"/>
          <w:color w:val="auto"/>
          <w:sz w:val="24"/>
          <w:highlight w:val="none"/>
          <w:u w:val="single"/>
        </w:rPr>
        <w:t>应交付而未交付货物的含税总金额30%</w:t>
      </w:r>
      <w:r>
        <w:rPr>
          <w:rFonts w:hint="eastAsia" w:ascii="仿宋_GB2312" w:hAnsi="仿宋_GB2312" w:cs="仿宋_GB2312"/>
          <w:color w:val="auto"/>
          <w:sz w:val="24"/>
          <w:highlight w:val="none"/>
        </w:rPr>
        <w:t>的违约金。经双方同意延期的情形不在此列。</w:t>
      </w:r>
    </w:p>
    <w:p w14:paraId="1A8575F7">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4.除不可抗力外，如果甲方没有按照本合同约定的付款方式付款，那么乙方可要求甲方支付违约金，违约金按每迟延付款一日的应付而未付款的</w:t>
      </w:r>
      <w:r>
        <w:rPr>
          <w:rFonts w:hint="eastAsia" w:ascii="仿宋_GB2312" w:hAnsi="仿宋_GB2312" w:cs="仿宋_GB2312"/>
          <w:color w:val="auto"/>
          <w:sz w:val="24"/>
          <w:highlight w:val="none"/>
          <w:u w:val="single"/>
        </w:rPr>
        <w:t xml:space="preserve">   </w:t>
      </w:r>
      <w:r>
        <w:rPr>
          <w:rFonts w:hint="eastAsia" w:ascii="仿宋_GB2312" w:hAnsi="仿宋_GB2312" w:cs="仿宋_GB2312"/>
          <w:b/>
          <w:bCs/>
          <w:color w:val="auto"/>
          <w:sz w:val="24"/>
          <w:highlight w:val="none"/>
          <w:u w:val="single"/>
        </w:rPr>
        <w:t xml:space="preserve">0.05  </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%计算，迟延付款达到 30天的，乙方有权在要求甲方支付违约金的同时，书面通知甲方解除本合同；</w:t>
      </w:r>
    </w:p>
    <w:p w14:paraId="0D0B4F5D">
      <w:pPr>
        <w:adjustRightInd w:val="0"/>
        <w:snapToGrid w:val="0"/>
        <w:spacing w:line="360" w:lineRule="auto"/>
        <w:ind w:firstLine="464" w:firstLineChars="200"/>
        <w:rPr>
          <w:rFonts w:hint="eastAsia" w:ascii="仿宋_GB2312" w:hAnsi="仿宋_GB2312" w:cs="仿宋_GB2312"/>
          <w:color w:val="auto"/>
          <w:sz w:val="24"/>
          <w:highlight w:val="none"/>
        </w:rPr>
      </w:pPr>
      <w:bookmarkStart w:id="194" w:name="_Toc9497"/>
      <w:bookmarkStart w:id="195" w:name="_Toc26807"/>
      <w:bookmarkStart w:id="196" w:name="_Toc18683"/>
      <w:bookmarkStart w:id="197" w:name="_Toc32454"/>
      <w:bookmarkStart w:id="198" w:name="_Toc30329"/>
      <w:r>
        <w:rPr>
          <w:rFonts w:hint="eastAsia" w:ascii="仿宋_GB2312" w:hAnsi="仿宋_GB2312" w:cs="仿宋_GB2312"/>
          <w:color w:val="auto"/>
          <w:sz w:val="24"/>
          <w:highlight w:val="none"/>
        </w:rPr>
        <w:t>5.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5F052F8">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AB9FB3">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7.如果出现政府采购监督管理部门或者纪检部门在处理投诉事项期间，书面通知甲方暂停采购活动的情形，或者询问或质疑事项可能影响中标或者成交结果的，导致甲方中止履行合同的情形，均不视为甲方违约。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61A8B4B">
      <w:pPr>
        <w:adjustRightInd w:val="0"/>
        <w:snapToGrid w:val="0"/>
        <w:spacing w:line="360" w:lineRule="auto"/>
        <w:ind w:right="-624" w:rightChars="-200"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8.违约责任另有约定的，从其约定，具体如下：</w:t>
      </w:r>
    </w:p>
    <w:p w14:paraId="635E7A0F">
      <w:pPr>
        <w:adjustRightInd w:val="0"/>
        <w:snapToGrid w:val="0"/>
        <w:spacing w:line="360" w:lineRule="auto"/>
        <w:ind w:right="-624" w:rightChars="-200" w:firstLine="464" w:firstLineChars="200"/>
        <w:rPr>
          <w:rFonts w:hint="eastAsia" w:ascii="仿宋_GB2312" w:hAnsi="仿宋_GB2312" w:cs="仿宋_GB2312"/>
          <w:color w:val="auto"/>
          <w:sz w:val="24"/>
          <w:highlight w:val="none"/>
          <w:u w:val="single"/>
        </w:rPr>
      </w:pPr>
      <w:r>
        <w:rPr>
          <w:rFonts w:hint="eastAsia" w:ascii="仿宋_GB2312" w:hAnsi="仿宋_GB2312" w:cs="仿宋_GB2312"/>
          <w:color w:val="auto"/>
          <w:sz w:val="24"/>
          <w:highlight w:val="none"/>
          <w:u w:val="single"/>
        </w:rPr>
        <w:t xml:space="preserve"> （1）乙方交付的服务或者货物不符合合同约定或验收不合格的，应当及时更换完善，因此延误成果交付期限的，按照逾期成果交付承担违约责任 ；乙方交付的货物三次以上不符合合同约定/验收不合格，或乙方未及时更换且经甲方催告后仍未更换的，甲方有权解除本合同，并要求乙方承担本合同总金额30%的违约金。</w:t>
      </w:r>
    </w:p>
    <w:p w14:paraId="3A7D8C08">
      <w:pPr>
        <w:adjustRightInd w:val="0"/>
        <w:snapToGrid w:val="0"/>
        <w:spacing w:line="360" w:lineRule="auto"/>
        <w:ind w:right="-624" w:rightChars="-200" w:firstLine="464" w:firstLineChars="200"/>
        <w:rPr>
          <w:rFonts w:hint="eastAsia" w:ascii="仿宋_GB2312" w:hAnsi="仿宋_GB2312" w:cs="仿宋_GB2312"/>
          <w:color w:val="auto"/>
          <w:sz w:val="24"/>
          <w:highlight w:val="none"/>
          <w:u w:val="single"/>
        </w:rPr>
      </w:pPr>
      <w:r>
        <w:rPr>
          <w:rFonts w:hint="eastAsia" w:ascii="仿宋_GB2312" w:hAnsi="仿宋_GB2312" w:cs="仿宋_GB2312"/>
          <w:color w:val="auto"/>
          <w:sz w:val="24"/>
          <w:highlight w:val="none"/>
          <w:u w:val="single"/>
        </w:rPr>
        <w:t>（2）乙方不履行售后服务义务的，每次应向甲方承担1000元的违约金，且仍应履行售后服务义务；违约金甲方有权优先从履约保证金中扣除，不足部分从服务费中扣除；若无履约保证金的，甲方有权直接从服务费中扣除；</w:t>
      </w:r>
    </w:p>
    <w:p w14:paraId="7D71EF09">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（3）甲方无故拒收成果交付，乙方有权要求甲方按照合同原价支付费用  ；</w:t>
      </w:r>
    </w:p>
    <w:p w14:paraId="16EC2E33">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bookmarkEnd w:id="194"/>
    <w:bookmarkEnd w:id="195"/>
    <w:bookmarkEnd w:id="196"/>
    <w:bookmarkEnd w:id="197"/>
    <w:bookmarkEnd w:id="198"/>
    <w:p w14:paraId="7DB50CCD">
      <w:pPr>
        <w:adjustRightInd w:val="0"/>
        <w:snapToGrid w:val="0"/>
        <w:spacing w:line="360" w:lineRule="auto"/>
        <w:ind w:firstLine="464" w:firstLineChars="200"/>
        <w:rPr>
          <w:rFonts w:hint="eastAsia" w:ascii="仿宋_GB2312" w:hAnsi="仿宋_GB2312" w:cs="仿宋_GB2312"/>
          <w:color w:val="auto"/>
          <w:sz w:val="24"/>
          <w:highlight w:val="none"/>
        </w:rPr>
      </w:pPr>
      <w:bookmarkStart w:id="199" w:name="_Toc28375"/>
      <w:bookmarkStart w:id="200" w:name="_Toc16021"/>
      <w:bookmarkStart w:id="201" w:name="_Toc15583"/>
      <w:r>
        <w:rPr>
          <w:rFonts w:hint="eastAsia" w:ascii="仿宋_GB2312" w:hAnsi="仿宋_GB2312" w:cs="仿宋_GB2312"/>
          <w:color w:val="auto"/>
          <w:sz w:val="24"/>
          <w:highlight w:val="none"/>
        </w:rPr>
        <w:t>9.在使用乙方提供的货物或者服务过程中，因产品质量或乙方其他问题给机械设备造成故障或货物损坏，由乙方承担甲方的一切损失，包括直接和间接损失。</w:t>
      </w:r>
    </w:p>
    <w:p w14:paraId="25B9101B">
      <w:pPr>
        <w:adjustRightInd w:val="0"/>
        <w:snapToGrid w:val="0"/>
        <w:spacing w:line="360" w:lineRule="auto"/>
        <w:ind w:firstLine="464" w:firstLineChars="200"/>
        <w:rPr>
          <w:rFonts w:hint="eastAsia" w:ascii="仿宋_GB2312" w:hAnsi="仿宋_GB2312" w:cs="仿宋_GB2312"/>
          <w:color w:val="auto"/>
          <w:sz w:val="24"/>
          <w:highlight w:val="none"/>
          <w:u w:val="single"/>
        </w:rPr>
      </w:pPr>
      <w:r>
        <w:rPr>
          <w:rFonts w:hint="eastAsia" w:ascii="仿宋_GB2312" w:hAnsi="仿宋_GB2312" w:cs="仿宋_GB2312"/>
          <w:color w:val="auto"/>
          <w:sz w:val="24"/>
          <w:highlight w:val="none"/>
          <w:u w:val="single"/>
        </w:rPr>
        <w:t>10.若甲方认为乙方改造虽然通过性能验收且无遗留问题，但整理效果不佳需要提前终止合同，双方均不视为双方违约。</w:t>
      </w:r>
    </w:p>
    <w:p w14:paraId="47ABAA8F">
      <w:pPr>
        <w:adjustRightInd w:val="0"/>
        <w:snapToGrid w:val="0"/>
        <w:spacing w:line="360" w:lineRule="auto"/>
        <w:ind w:firstLine="464"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十一、退出机制</w:t>
      </w:r>
    </w:p>
    <w:p w14:paraId="1FBB061E">
      <w:pPr>
        <w:adjustRightInd w:val="0"/>
        <w:snapToGrid w:val="0"/>
        <w:spacing w:line="360" w:lineRule="auto"/>
        <w:ind w:firstLine="464" w:firstLineChars="200"/>
        <w:rPr>
          <w:rFonts w:hint="eastAsia" w:ascii="仿宋_GB2312" w:hAnsi="仿宋_GB2312" w:cs="仿宋_GB2312"/>
          <w:color w:val="auto"/>
          <w:sz w:val="24"/>
          <w:highlight w:val="none"/>
          <w:lang w:val="zh-CN"/>
        </w:rPr>
      </w:pPr>
      <w:r>
        <w:rPr>
          <w:rFonts w:hint="eastAsia" w:ascii="仿宋_GB2312" w:hAnsi="仿宋_GB2312" w:cs="仿宋_GB2312"/>
          <w:color w:val="auto"/>
          <w:sz w:val="24"/>
          <w:highlight w:val="none"/>
          <w:lang w:val="zh-CN"/>
        </w:rPr>
        <w:t>合同履约服务期间，</w:t>
      </w:r>
      <w:r>
        <w:rPr>
          <w:rFonts w:hint="eastAsia" w:ascii="仿宋_GB2312" w:hAnsi="仿宋_GB2312" w:cs="仿宋_GB2312"/>
          <w:color w:val="auto"/>
          <w:sz w:val="24"/>
          <w:highlight w:val="none"/>
        </w:rPr>
        <w:t>乙方</w:t>
      </w:r>
      <w:r>
        <w:rPr>
          <w:rFonts w:hint="eastAsia" w:ascii="仿宋_GB2312" w:hAnsi="仿宋_GB2312" w:cs="仿宋_GB2312"/>
          <w:color w:val="auto"/>
          <w:sz w:val="24"/>
          <w:highlight w:val="none"/>
          <w:lang w:val="zh-CN"/>
        </w:rPr>
        <w:t>出现以下情形之一的，</w:t>
      </w:r>
      <w:r>
        <w:rPr>
          <w:rFonts w:hint="eastAsia" w:ascii="仿宋_GB2312" w:hAnsi="仿宋_GB2312" w:cs="仿宋_GB2312"/>
          <w:color w:val="auto"/>
          <w:sz w:val="24"/>
          <w:highlight w:val="none"/>
        </w:rPr>
        <w:t>甲方</w:t>
      </w:r>
      <w:r>
        <w:rPr>
          <w:rFonts w:hint="eastAsia" w:ascii="仿宋_GB2312" w:hAnsi="仿宋_GB2312" w:cs="仿宋_GB2312"/>
          <w:color w:val="auto"/>
          <w:sz w:val="24"/>
          <w:highlight w:val="none"/>
          <w:lang w:val="zh-CN"/>
        </w:rPr>
        <w:t>有权无条件终止合同，同时按照条款扣除</w:t>
      </w:r>
      <w:r>
        <w:rPr>
          <w:rFonts w:hint="eastAsia" w:ascii="仿宋_GB2312" w:hAnsi="仿宋_GB2312" w:cs="仿宋_GB2312"/>
          <w:color w:val="auto"/>
          <w:sz w:val="24"/>
          <w:highlight w:val="none"/>
        </w:rPr>
        <w:t>相应金额的</w:t>
      </w:r>
      <w:r>
        <w:rPr>
          <w:rFonts w:hint="eastAsia" w:ascii="仿宋_GB2312" w:hAnsi="仿宋_GB2312" w:cs="仿宋_GB2312"/>
          <w:color w:val="auto"/>
          <w:sz w:val="24"/>
          <w:highlight w:val="none"/>
          <w:lang w:val="zh-CN"/>
        </w:rPr>
        <w:t>履约保证金（履约保证金不足的部分</w:t>
      </w:r>
      <w:r>
        <w:rPr>
          <w:rFonts w:hint="eastAsia" w:ascii="仿宋_GB2312" w:hAnsi="仿宋_GB2312" w:cs="仿宋_GB2312"/>
          <w:color w:val="auto"/>
          <w:sz w:val="24"/>
          <w:highlight w:val="none"/>
        </w:rPr>
        <w:t>乙方</w:t>
      </w:r>
      <w:r>
        <w:rPr>
          <w:rFonts w:hint="eastAsia" w:ascii="仿宋_GB2312" w:hAnsi="仿宋_GB2312" w:cs="仿宋_GB2312"/>
          <w:color w:val="auto"/>
          <w:sz w:val="24"/>
          <w:highlight w:val="none"/>
          <w:lang w:val="zh-CN"/>
        </w:rPr>
        <w:t>补缴或者扣除未支付的服务费）。</w:t>
      </w:r>
    </w:p>
    <w:p w14:paraId="64E68264">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（1）未经甲方同意，擅自转让、分包本项目的； </w:t>
      </w:r>
    </w:p>
    <w:p w14:paraId="7A2519D4">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（2）乙方改造服务不能按期完成的；</w:t>
      </w:r>
    </w:p>
    <w:p w14:paraId="7C5CE29B">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（3）乙方发生一人及以上死亡安全事故的； </w:t>
      </w:r>
    </w:p>
    <w:p w14:paraId="126E599C">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（4）乙方存在其他违反合同约定的行为且经甲方催告后合理期限内仍未整改完毕的；</w:t>
      </w:r>
    </w:p>
    <w:p w14:paraId="2E706E8B">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（5）合同约定期满或者提前终止合同的；</w:t>
      </w:r>
    </w:p>
    <w:p w14:paraId="2A4D9F2B">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（6）因乙方原因而影响垃圾吊运行超过36小时或事故扩大引起甲方任何一台炉非计划停炉的；</w:t>
      </w:r>
    </w:p>
    <w:p w14:paraId="7EDFF1D6">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（7）</w:t>
      </w:r>
      <w:r>
        <w:rPr>
          <w:rFonts w:hint="eastAsia" w:ascii="仿宋_GB2312" w:hAnsi="仿宋_GB2312" w:cs="仿宋_GB2312"/>
          <w:color w:val="auto"/>
          <w:sz w:val="24"/>
          <w:highlight w:val="none"/>
          <w:lang w:val="zh-CN"/>
        </w:rPr>
        <w:t>法律法规和政策规定的其他情形。</w:t>
      </w:r>
    </w:p>
    <w:p w14:paraId="704D87F0">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02" w:name="_Toc22359"/>
      <w:r>
        <w:rPr>
          <w:rFonts w:hint="eastAsia" w:ascii="仿宋_GB2312" w:hAnsi="仿宋_GB2312" w:cs="仿宋_GB2312"/>
          <w:b/>
          <w:color w:val="auto"/>
          <w:sz w:val="24"/>
          <w:highlight w:val="none"/>
        </w:rPr>
        <w:t>十二、合同争议的解决</w:t>
      </w:r>
      <w:bookmarkEnd w:id="199"/>
      <w:bookmarkEnd w:id="200"/>
      <w:bookmarkEnd w:id="201"/>
      <w:bookmarkEnd w:id="202"/>
    </w:p>
    <w:p w14:paraId="69650349">
      <w:pPr>
        <w:adjustRightInd w:val="0"/>
        <w:snapToGrid w:val="0"/>
        <w:spacing w:line="360" w:lineRule="auto"/>
        <w:ind w:left="-624" w:leftChars="-200" w:right="-624" w:rightChars="-200" w:firstLine="812" w:firstLineChars="35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本合同履行过程中发生的任何争议，双方当事人均可通过和解或者调解解决；不愿和解、调解或者和解、调解不成的，向</w:t>
      </w:r>
      <w:r>
        <w:rPr>
          <w:rFonts w:hint="eastAsia" w:ascii="仿宋_GB2312" w:hAnsi="仿宋_GB2312" w:cs="仿宋_GB2312"/>
          <w:b/>
          <w:iCs/>
          <w:color w:val="auto"/>
          <w:sz w:val="24"/>
          <w:highlight w:val="none"/>
          <w:u w:val="single"/>
        </w:rPr>
        <w:t>甲方所在地人</w:t>
      </w:r>
      <w:r>
        <w:rPr>
          <w:rFonts w:hint="eastAsia" w:ascii="仿宋_GB2312" w:hAnsi="仿宋_GB2312" w:cs="仿宋_GB2312"/>
          <w:color w:val="auto"/>
          <w:sz w:val="24"/>
          <w:highlight w:val="none"/>
        </w:rPr>
        <w:t>民法院起诉。</w:t>
      </w:r>
    </w:p>
    <w:p w14:paraId="633C0685">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03" w:name="_Toc11173"/>
      <w:bookmarkStart w:id="204" w:name="_Toc15322"/>
      <w:bookmarkStart w:id="205" w:name="_Toc7245"/>
      <w:bookmarkStart w:id="206" w:name="_Toc14811"/>
      <w:r>
        <w:rPr>
          <w:rFonts w:hint="eastAsia" w:ascii="仿宋_GB2312" w:hAnsi="仿宋_GB2312" w:cs="仿宋_GB2312"/>
          <w:b/>
          <w:color w:val="auto"/>
          <w:sz w:val="24"/>
          <w:highlight w:val="none"/>
        </w:rPr>
        <w:t>十三、合同生效</w:t>
      </w:r>
      <w:bookmarkEnd w:id="203"/>
      <w:bookmarkEnd w:id="204"/>
      <w:bookmarkEnd w:id="205"/>
      <w:bookmarkEnd w:id="206"/>
    </w:p>
    <w:p w14:paraId="10D317F4">
      <w:pPr>
        <w:pStyle w:val="53"/>
        <w:ind w:left="0" w:leftChars="0" w:firstLine="464"/>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本合同自双方盖章、签字时生效。合同份数按</w:t>
      </w:r>
      <w:r>
        <w:rPr>
          <w:rFonts w:hint="eastAsia" w:ascii="仿宋_GB2312" w:hAnsi="仿宋_GB2312" w:eastAsia="仿宋_GB2312" w:cs="仿宋_GB2312"/>
          <w:b/>
          <w:bCs/>
          <w:color w:val="auto"/>
          <w:szCs w:val="24"/>
          <w:highlight w:val="none"/>
          <w:u w:val="single"/>
        </w:rPr>
        <w:t>一式四份</w:t>
      </w:r>
      <w:r>
        <w:rPr>
          <w:rFonts w:hint="eastAsia" w:ascii="仿宋_GB2312" w:hAnsi="仿宋_GB2312" w:eastAsia="仿宋_GB2312" w:cs="仿宋_GB2312"/>
          <w:color w:val="auto"/>
          <w:szCs w:val="24"/>
          <w:highlight w:val="none"/>
        </w:rPr>
        <w:t>规定，甲方三份，乙方一份，</w:t>
      </w:r>
      <w:r>
        <w:rPr>
          <w:rFonts w:hint="eastAsia" w:ascii="仿宋_GB2312" w:hAnsi="仿宋_GB2312" w:eastAsia="仿宋_GB2312" w:cs="仿宋_GB2312"/>
          <w:bCs/>
          <w:color w:val="auto"/>
          <w:szCs w:val="24"/>
          <w:highlight w:val="none"/>
        </w:rPr>
        <w:t>第二章合同一般条款</w:t>
      </w:r>
      <w:r>
        <w:rPr>
          <w:rFonts w:hint="eastAsia" w:ascii="仿宋_GB2312" w:hAnsi="仿宋_GB2312" w:eastAsia="仿宋_GB2312" w:cs="仿宋_GB2312"/>
          <w:color w:val="auto"/>
          <w:szCs w:val="24"/>
          <w:highlight w:val="none"/>
        </w:rPr>
        <w:t>、第三章安全协议、第四章廉洁协议为本合同不可分割的一部分，均具有同等法律效力。</w:t>
      </w:r>
    </w:p>
    <w:p w14:paraId="0D4A93E1">
      <w:pPr>
        <w:adjustRightInd w:val="0"/>
        <w:snapToGrid w:val="0"/>
        <w:spacing w:line="360" w:lineRule="auto"/>
        <w:ind w:firstLine="464" w:firstLineChars="200"/>
        <w:rPr>
          <w:rFonts w:hint="eastAsia" w:ascii="仿宋_GB2312" w:hAnsi="仿宋_GB2312" w:cs="仿宋_GB2312"/>
          <w:color w:val="auto"/>
          <w:sz w:val="24"/>
          <w:highlight w:val="none"/>
        </w:rPr>
      </w:pPr>
    </w:p>
    <w:p w14:paraId="0117E6F9">
      <w:pPr>
        <w:pStyle w:val="53"/>
        <w:ind w:left="0" w:leftChars="0" w:firstLine="0" w:firstLineChars="0"/>
        <w:jc w:val="center"/>
        <w:rPr>
          <w:rFonts w:hint="eastAsia" w:ascii="仿宋_GB2312" w:hAnsi="仿宋_GB2312" w:eastAsia="仿宋_GB2312" w:cs="仿宋_GB2312"/>
          <w:b/>
          <w:color w:val="auto"/>
          <w:szCs w:val="24"/>
          <w:highlight w:val="none"/>
        </w:rPr>
      </w:pPr>
    </w:p>
    <w:p w14:paraId="0D0495D5">
      <w:pPr>
        <w:pStyle w:val="53"/>
        <w:ind w:left="0" w:leftChars="0" w:firstLine="0" w:firstLineChars="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第二章 合同一般条款</w:t>
      </w:r>
    </w:p>
    <w:p w14:paraId="03F4C8C7">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07" w:name="_Toc14021"/>
      <w:bookmarkStart w:id="208" w:name="_Toc19680"/>
      <w:bookmarkStart w:id="209" w:name="_Toc31297"/>
      <w:bookmarkStart w:id="210" w:name="_Toc25079"/>
      <w:bookmarkStart w:id="211" w:name="_Toc5228"/>
      <w:bookmarkStart w:id="212" w:name="_Toc4618"/>
      <w:r>
        <w:rPr>
          <w:rFonts w:hint="eastAsia" w:ascii="仿宋_GB2312" w:hAnsi="仿宋_GB2312" w:cs="仿宋_GB2312"/>
          <w:b/>
          <w:color w:val="auto"/>
          <w:sz w:val="24"/>
          <w:highlight w:val="none"/>
        </w:rPr>
        <w:t>一、定义</w:t>
      </w:r>
      <w:bookmarkEnd w:id="207"/>
      <w:bookmarkEnd w:id="208"/>
      <w:bookmarkEnd w:id="209"/>
      <w:bookmarkEnd w:id="210"/>
      <w:bookmarkEnd w:id="211"/>
      <w:bookmarkEnd w:id="212"/>
    </w:p>
    <w:p w14:paraId="60C72257">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本合同中的下列词语应按以下内容进行解释：</w:t>
      </w:r>
    </w:p>
    <w:p w14:paraId="527D53F6">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1.“合同”系指采购人和中标或成交供应商签订的载明双方当事人所达成的协议，并包括所有的附件、附录和构成合同的其他文件。</w:t>
      </w:r>
    </w:p>
    <w:p w14:paraId="2D0AD930">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2.“合同价”系指根据合同约定，中标或成交供应商在完全履行合同义务后，采购人应支付给中标或成交供应商的价格。</w:t>
      </w:r>
    </w:p>
    <w:p w14:paraId="143AD198">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3.“服务”系指中标或成交供应商根据合同约定应向采购人履行的服务。</w:t>
      </w:r>
    </w:p>
    <w:p w14:paraId="2F876ED0">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4.“甲方”系指与中标或成交供应商签署合同的采购人；采购人委托采购代理机构代表其与乙方签订合同的，采购人的授权委托书作为合同附件。</w:t>
      </w:r>
    </w:p>
    <w:p w14:paraId="79B2FD0C">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62A2AD3E">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6.“现场”系指合同约定提供服务的地点。</w:t>
      </w:r>
    </w:p>
    <w:p w14:paraId="15DD1558">
      <w:pPr>
        <w:adjustRightInd w:val="0"/>
        <w:snapToGrid w:val="0"/>
        <w:spacing w:line="360" w:lineRule="auto"/>
        <w:ind w:firstLine="464" w:firstLineChars="200"/>
        <w:rPr>
          <w:rFonts w:hint="eastAsia" w:ascii="仿宋_GB2312" w:hAnsi="仿宋_GB2312" w:cs="仿宋_GB2312"/>
          <w:color w:val="auto"/>
          <w:sz w:val="24"/>
          <w:highlight w:val="none"/>
        </w:rPr>
      </w:pPr>
      <w:bookmarkStart w:id="213" w:name="_Toc19539"/>
      <w:bookmarkStart w:id="214" w:name="_Toc31402"/>
      <w:bookmarkStart w:id="215" w:name="_Toc16752"/>
      <w:bookmarkStart w:id="216" w:name="_Toc23289"/>
      <w:bookmarkStart w:id="217" w:name="_Toc3769"/>
      <w:r>
        <w:rPr>
          <w:rFonts w:hint="eastAsia" w:ascii="仿宋_GB2312" w:hAnsi="仿宋_GB2312" w:cs="仿宋_GB2312"/>
          <w:color w:val="auto"/>
          <w:sz w:val="24"/>
          <w:highlight w:val="none"/>
        </w:rPr>
        <w:t>7. 除特别约定为工作日之外，本合同所有提及的“天”“日”均为日历天。</w:t>
      </w:r>
    </w:p>
    <w:p w14:paraId="5D888112">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18" w:name="_Toc13242"/>
      <w:r>
        <w:rPr>
          <w:rFonts w:hint="eastAsia" w:ascii="仿宋_GB2312" w:hAnsi="仿宋_GB2312" w:cs="仿宋_GB2312"/>
          <w:b/>
          <w:color w:val="auto"/>
          <w:sz w:val="24"/>
          <w:highlight w:val="none"/>
        </w:rPr>
        <w:t>二、 技术规范</w:t>
      </w:r>
      <w:bookmarkEnd w:id="213"/>
      <w:bookmarkEnd w:id="214"/>
      <w:bookmarkEnd w:id="215"/>
      <w:bookmarkEnd w:id="216"/>
      <w:bookmarkEnd w:id="217"/>
      <w:bookmarkEnd w:id="218"/>
    </w:p>
    <w:p w14:paraId="58CC80E8">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服务所应遵守的技术规范应与采购文件规定的技术规范和技术规范附件（</w:t>
      </w:r>
      <w:r>
        <w:rPr>
          <w:rFonts w:hint="eastAsia" w:ascii="仿宋_GB2312" w:hAnsi="仿宋_GB2312" w:cs="仿宋_GB2312"/>
          <w:b/>
          <w:bCs/>
          <w:color w:val="auto"/>
          <w:sz w:val="24"/>
          <w:highlight w:val="none"/>
          <w:u w:val="single"/>
        </w:rPr>
        <w:t>如果有的话）</w:t>
      </w:r>
      <w:r>
        <w:rPr>
          <w:rFonts w:hint="eastAsia" w:ascii="仿宋_GB2312" w:hAnsi="仿宋_GB2312" w:cs="仿宋_GB2312"/>
          <w:color w:val="auto"/>
          <w:sz w:val="24"/>
          <w:highlight w:val="none"/>
        </w:rPr>
        <w:t>及其技术规范偏差表（</w:t>
      </w:r>
      <w:r>
        <w:rPr>
          <w:rFonts w:hint="eastAsia" w:ascii="仿宋_GB2312" w:hAnsi="仿宋_GB2312" w:cs="仿宋_GB2312"/>
          <w:b/>
          <w:bCs/>
          <w:color w:val="auto"/>
          <w:sz w:val="24"/>
          <w:highlight w:val="none"/>
          <w:u w:val="single"/>
        </w:rPr>
        <w:t>如果被甲方接受的话）</w:t>
      </w:r>
      <w:r>
        <w:rPr>
          <w:rFonts w:hint="eastAsia" w:ascii="仿宋_GB2312" w:hAnsi="仿宋_GB2312" w:cs="仿宋_GB2312"/>
          <w:color w:val="auto"/>
          <w:sz w:val="24"/>
          <w:highlight w:val="none"/>
        </w:rPr>
        <w:t>相一致；如果采购文件中没有技术规范的相应说明，那么应以国家有关部门最新颁布的相应标准和规范为准。</w:t>
      </w:r>
    </w:p>
    <w:p w14:paraId="387A174D">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19" w:name="_Toc9161"/>
      <w:bookmarkStart w:id="220" w:name="_Toc13673"/>
      <w:bookmarkStart w:id="221" w:name="_Toc12412"/>
      <w:bookmarkStart w:id="222" w:name="_Toc4133"/>
      <w:bookmarkStart w:id="223" w:name="_Toc27945"/>
      <w:bookmarkStart w:id="224" w:name="_Toc5027"/>
      <w:r>
        <w:rPr>
          <w:rFonts w:hint="eastAsia" w:ascii="仿宋_GB2312" w:hAnsi="仿宋_GB2312" w:cs="仿宋_GB2312"/>
          <w:b/>
          <w:color w:val="auto"/>
          <w:sz w:val="24"/>
          <w:highlight w:val="none"/>
        </w:rPr>
        <w:t>三、 知识产权</w:t>
      </w:r>
      <w:bookmarkEnd w:id="219"/>
      <w:bookmarkEnd w:id="220"/>
      <w:bookmarkEnd w:id="221"/>
      <w:bookmarkEnd w:id="222"/>
      <w:bookmarkEnd w:id="223"/>
      <w:bookmarkEnd w:id="224"/>
    </w:p>
    <w:p w14:paraId="3EDCC8B4">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乙方应保证其提供的服务不受任何第三方提出的侵犯其著作权、商标权、专利权等知识产权方面的起诉；如果任何第三方提出侵权指控，那么乙方必须与该第三方交涉并承担由此发生的一切责任、费用和赔偿，乙方还应及时澄清相关信息，使甲方声誉免受损害，甲方保留追责的权利。</w:t>
      </w:r>
    </w:p>
    <w:p w14:paraId="370C722A">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合同涉及技术成果的归属和收益的分成办法的，双方另行商定签订协议。如双方未另行签订书面协议的，乙方为履行本合同下义务所形成的各项成果文件之所有权、知识产权均归属于甲方所有，且甲方有权自行或委托第三方进行修改。</w:t>
      </w:r>
    </w:p>
    <w:p w14:paraId="738487C0">
      <w:pPr>
        <w:adjustRightInd w:val="0"/>
        <w:snapToGrid w:val="0"/>
        <w:spacing w:line="360" w:lineRule="auto"/>
        <w:ind w:firstLine="464" w:firstLineChars="200"/>
        <w:rPr>
          <w:rFonts w:hint="eastAsia" w:ascii="仿宋_GB2312" w:hAnsi="仿宋_GB2312" w:cs="仿宋_GB2312"/>
          <w:b/>
          <w:color w:val="auto"/>
          <w:sz w:val="24"/>
          <w:highlight w:val="none"/>
        </w:rPr>
      </w:pPr>
      <w:r>
        <w:rPr>
          <w:rFonts w:hint="eastAsia" w:ascii="仿宋_GB2312" w:hAnsi="仿宋_GB2312" w:cs="仿宋_GB2312"/>
          <w:b/>
          <w:color w:val="auto"/>
          <w:sz w:val="24"/>
          <w:highlight w:val="none"/>
        </w:rPr>
        <w:t>四、履约检查和问题反馈</w:t>
      </w:r>
    </w:p>
    <w:p w14:paraId="3E58D06E">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1.甲方有权在其认为必要时，对乙方是否能够按照合同约定提供服务进行履约检查，以确保乙方所提供的服务能够依约满足甲方之项目需求，但不得因履约检查妨碍乙方的正常工作，乙方应予积极配合；</w:t>
      </w:r>
    </w:p>
    <w:p w14:paraId="7040D337">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2.合同履行期间，甲方有权将履行过程中出现的问题反馈给乙方，双方当事人应以书面形式约定需要完善和改进的内容。</w:t>
      </w:r>
    </w:p>
    <w:p w14:paraId="01F3DB39">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25" w:name="_Toc32670"/>
      <w:bookmarkStart w:id="226" w:name="_Toc15447"/>
      <w:bookmarkStart w:id="227" w:name="_Toc22011"/>
      <w:bookmarkStart w:id="228" w:name="_Toc26555"/>
      <w:bookmarkStart w:id="229" w:name="_Toc31233"/>
      <w:bookmarkStart w:id="230" w:name="_Toc6636"/>
      <w:r>
        <w:rPr>
          <w:rFonts w:hint="eastAsia" w:ascii="仿宋_GB2312" w:hAnsi="仿宋_GB2312" w:cs="仿宋_GB2312"/>
          <w:b/>
          <w:color w:val="auto"/>
          <w:sz w:val="24"/>
          <w:highlight w:val="none"/>
        </w:rPr>
        <w:t>五、结算方式和付款条件</w:t>
      </w:r>
      <w:bookmarkEnd w:id="225"/>
      <w:bookmarkEnd w:id="226"/>
      <w:bookmarkEnd w:id="227"/>
      <w:bookmarkEnd w:id="228"/>
      <w:bookmarkEnd w:id="229"/>
      <w:bookmarkEnd w:id="230"/>
    </w:p>
    <w:p w14:paraId="032DBF1A">
      <w:pPr>
        <w:adjustRightInd w:val="0"/>
        <w:snapToGrid w:val="0"/>
        <w:spacing w:line="360" w:lineRule="auto"/>
        <w:ind w:firstLine="464" w:firstLineChars="200"/>
        <w:outlineLvl w:val="0"/>
        <w:rPr>
          <w:rFonts w:hint="eastAsia" w:ascii="仿宋_GB2312" w:hAnsi="仿宋_GB2312" w:cs="仿宋_GB2312"/>
          <w:bCs/>
          <w:color w:val="auto"/>
          <w:sz w:val="24"/>
          <w:highlight w:val="none"/>
        </w:rPr>
      </w:pPr>
      <w:bookmarkStart w:id="231" w:name="_Toc30254"/>
      <w:bookmarkStart w:id="232" w:name="_Toc13154"/>
      <w:bookmarkStart w:id="233" w:name="_Toc18990"/>
      <w:bookmarkStart w:id="234" w:name="_Toc16163"/>
      <w:bookmarkStart w:id="235" w:name="_Toc13467"/>
      <w:bookmarkStart w:id="236" w:name="_Toc30507"/>
      <w:r>
        <w:rPr>
          <w:rFonts w:hint="eastAsia" w:ascii="仿宋_GB2312" w:hAnsi="仿宋_GB2312" w:cs="仿宋_GB2312"/>
          <w:bCs/>
          <w:color w:val="auto"/>
          <w:sz w:val="24"/>
          <w:highlight w:val="none"/>
        </w:rPr>
        <w:t>1.结算方式为转账或者电汇 ，若甲方采用银行承兑支付，双方另行协商；</w:t>
      </w:r>
      <w:bookmarkEnd w:id="231"/>
    </w:p>
    <w:p w14:paraId="0D08EE11">
      <w:pPr>
        <w:adjustRightInd w:val="0"/>
        <w:snapToGrid w:val="0"/>
        <w:spacing w:line="360" w:lineRule="auto"/>
        <w:ind w:firstLine="464" w:firstLineChars="200"/>
        <w:outlineLvl w:val="0"/>
        <w:rPr>
          <w:rFonts w:hint="eastAsia" w:ascii="仿宋_GB2312" w:hAnsi="仿宋_GB2312" w:cs="仿宋_GB2312"/>
          <w:bCs/>
          <w:color w:val="auto"/>
          <w:sz w:val="24"/>
          <w:highlight w:val="none"/>
        </w:rPr>
      </w:pPr>
      <w:bookmarkStart w:id="237" w:name="_Toc12421"/>
      <w:r>
        <w:rPr>
          <w:rFonts w:hint="eastAsia" w:ascii="仿宋_GB2312" w:hAnsi="仿宋_GB2312" w:cs="仿宋_GB2312"/>
          <w:bCs/>
          <w:color w:val="auto"/>
          <w:sz w:val="24"/>
          <w:highlight w:val="none"/>
        </w:rPr>
        <w:t>2.付款条件：乙方提供的服务或者货物应满足合同约定要求，未出现违规违约的情况 ；</w:t>
      </w:r>
      <w:bookmarkEnd w:id="237"/>
    </w:p>
    <w:p w14:paraId="2AA1AD55">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38" w:name="_Toc32479"/>
      <w:r>
        <w:rPr>
          <w:rFonts w:hint="eastAsia" w:ascii="仿宋_GB2312" w:hAnsi="仿宋_GB2312" w:cs="仿宋_GB2312"/>
          <w:b/>
          <w:color w:val="auto"/>
          <w:sz w:val="24"/>
          <w:highlight w:val="none"/>
        </w:rPr>
        <w:t>六、技术资料和保密义务</w:t>
      </w:r>
      <w:bookmarkEnd w:id="232"/>
      <w:bookmarkEnd w:id="233"/>
      <w:bookmarkEnd w:id="234"/>
      <w:bookmarkEnd w:id="235"/>
      <w:bookmarkEnd w:id="236"/>
      <w:bookmarkEnd w:id="238"/>
    </w:p>
    <w:p w14:paraId="178359B6">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1.乙方有权依据合同约定和项目需要，向甲方了解有关情况，调阅有关资料等，甲方应予积极配合；</w:t>
      </w:r>
    </w:p>
    <w:p w14:paraId="2515557D">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 乙方有义务妥善保管和保护由甲方提供的前款信息和资料等；</w:t>
      </w:r>
    </w:p>
    <w:p w14:paraId="3E7D62FE">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B4B8828">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39" w:name="_Toc19069"/>
      <w:bookmarkStart w:id="240" w:name="_Toc7074"/>
      <w:r>
        <w:rPr>
          <w:rFonts w:hint="eastAsia" w:ascii="仿宋_GB2312" w:hAnsi="仿宋_GB2312" w:cs="仿宋_GB2312"/>
          <w:b/>
          <w:color w:val="auto"/>
          <w:sz w:val="24"/>
          <w:highlight w:val="none"/>
        </w:rPr>
        <w:t>七、质量保证</w:t>
      </w:r>
      <w:bookmarkEnd w:id="239"/>
      <w:bookmarkEnd w:id="240"/>
    </w:p>
    <w:p w14:paraId="4BB35739">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乙方应保证履行合同的人员数量和素质、软件和硬件设备的配置、场地、环境和设施等满足全面履行合同的要求。</w:t>
      </w:r>
    </w:p>
    <w:p w14:paraId="3A2606BD">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41" w:name="_Toc22267"/>
      <w:bookmarkStart w:id="242" w:name="_Toc28178"/>
      <w:r>
        <w:rPr>
          <w:rFonts w:hint="eastAsia" w:ascii="仿宋_GB2312" w:hAnsi="仿宋_GB2312" w:cs="仿宋_GB2312"/>
          <w:b/>
          <w:color w:val="auto"/>
          <w:sz w:val="24"/>
          <w:highlight w:val="none"/>
        </w:rPr>
        <w:t>八、 延迟履行</w:t>
      </w:r>
      <w:bookmarkEnd w:id="241"/>
      <w:bookmarkEnd w:id="242"/>
    </w:p>
    <w:p w14:paraId="5FDD631D">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4B30434D">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43" w:name="_Toc10611"/>
      <w:bookmarkStart w:id="244" w:name="_Toc31752"/>
      <w:r>
        <w:rPr>
          <w:rFonts w:hint="eastAsia" w:ascii="仿宋_GB2312" w:hAnsi="仿宋_GB2312" w:cs="仿宋_GB2312"/>
          <w:b/>
          <w:color w:val="auto"/>
          <w:sz w:val="24"/>
          <w:highlight w:val="none"/>
        </w:rPr>
        <w:t>九、合同变更</w:t>
      </w:r>
      <w:bookmarkEnd w:id="243"/>
      <w:r>
        <w:rPr>
          <w:rFonts w:hint="eastAsia" w:ascii="仿宋_GB2312" w:hAnsi="仿宋_GB2312" w:cs="仿宋_GB2312"/>
          <w:b/>
          <w:color w:val="auto"/>
          <w:sz w:val="24"/>
          <w:highlight w:val="none"/>
        </w:rPr>
        <w:t>或补充</w:t>
      </w:r>
      <w:bookmarkEnd w:id="244"/>
    </w:p>
    <w:p w14:paraId="1592ACCE">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36FC076B">
      <w:pPr>
        <w:adjustRightInd w:val="0"/>
        <w:snapToGrid w:val="0"/>
        <w:spacing w:line="360" w:lineRule="auto"/>
        <w:ind w:firstLine="464" w:firstLineChars="200"/>
        <w:rPr>
          <w:rFonts w:hint="eastAsia" w:ascii="仿宋_GB2312" w:hAnsi="仿宋_GB2312" w:cs="仿宋_GB2312"/>
          <w:color w:val="auto"/>
          <w:sz w:val="24"/>
          <w:highlight w:val="none"/>
        </w:rPr>
      </w:pPr>
      <w:bookmarkStart w:id="245" w:name="_Toc10663"/>
      <w:bookmarkStart w:id="246" w:name="_Toc23368"/>
      <w:bookmarkStart w:id="247" w:name="_Toc21830"/>
      <w:bookmarkStart w:id="248" w:name="_Toc26689"/>
      <w:bookmarkStart w:id="249" w:name="_Toc42"/>
      <w:r>
        <w:rPr>
          <w:rFonts w:hint="eastAsia" w:ascii="仿宋_GB2312" w:hAnsi="仿宋_GB2312" w:cs="仿宋_GB2312"/>
          <w:color w:val="auto"/>
          <w:sz w:val="24"/>
          <w:highlight w:val="none"/>
        </w:rPr>
        <w:t>2.本合同如有未尽事宜，双方协商解决。经双方协商后以补充协议形式书面确认，并作为本合同不可分割部分。如补充协议与本合同有不同之处，以补充协议为准。</w:t>
      </w:r>
    </w:p>
    <w:p w14:paraId="7DB570A1">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34AECBBF">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50" w:name="_Toc1030"/>
      <w:r>
        <w:rPr>
          <w:rFonts w:hint="eastAsia" w:ascii="仿宋_GB2312" w:hAnsi="仿宋_GB2312" w:cs="仿宋_GB2312"/>
          <w:b/>
          <w:color w:val="auto"/>
          <w:sz w:val="24"/>
          <w:highlight w:val="none"/>
        </w:rPr>
        <w:t>十、合同转让</w:t>
      </w:r>
      <w:bookmarkEnd w:id="245"/>
      <w:bookmarkEnd w:id="246"/>
      <w:bookmarkEnd w:id="247"/>
      <w:bookmarkEnd w:id="248"/>
      <w:bookmarkEnd w:id="249"/>
      <w:bookmarkEnd w:id="250"/>
    </w:p>
    <w:p w14:paraId="30CB3096">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合同的权利义务依法不得转让，特殊情况双方另行协商。</w:t>
      </w:r>
    </w:p>
    <w:p w14:paraId="7E13A7EE">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51" w:name="_Toc14371"/>
      <w:bookmarkStart w:id="252" w:name="_Toc4720"/>
      <w:bookmarkStart w:id="253" w:name="_Toc25571"/>
      <w:bookmarkStart w:id="254" w:name="_Toc32494"/>
      <w:bookmarkStart w:id="255" w:name="_Toc26633"/>
      <w:bookmarkStart w:id="256" w:name="_Toc20823"/>
      <w:r>
        <w:rPr>
          <w:rFonts w:hint="eastAsia" w:ascii="仿宋_GB2312" w:hAnsi="仿宋_GB2312" w:cs="仿宋_GB2312"/>
          <w:b/>
          <w:color w:val="auto"/>
          <w:sz w:val="24"/>
          <w:highlight w:val="none"/>
        </w:rPr>
        <w:t>十一、不可抗力</w:t>
      </w:r>
      <w:bookmarkEnd w:id="251"/>
      <w:bookmarkEnd w:id="252"/>
      <w:bookmarkEnd w:id="253"/>
      <w:bookmarkEnd w:id="254"/>
      <w:bookmarkEnd w:id="255"/>
      <w:bookmarkEnd w:id="256"/>
    </w:p>
    <w:p w14:paraId="531E5390">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1.如果任何一方遭遇法律规定的不可抗力，致使合同履行受阻时，履行合同的期限应予延长，延长的期限应相当于不可抗力所影响的时间；</w:t>
      </w:r>
    </w:p>
    <w:p w14:paraId="4D78B020">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2.因不可抗力致使不能实现合同目的的，当事人可以解除合同；</w:t>
      </w:r>
    </w:p>
    <w:p w14:paraId="2A099C49">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3.因不可抗力致使合同有变更必要的，双方当事人应在</w:t>
      </w:r>
      <w:r>
        <w:rPr>
          <w:rFonts w:hint="eastAsia" w:ascii="仿宋_GB2312" w:hAnsi="仿宋_GB2312" w:cs="仿宋_GB2312"/>
          <w:color w:val="auto"/>
          <w:sz w:val="24"/>
          <w:highlight w:val="none"/>
          <w:u w:val="single"/>
        </w:rPr>
        <w:t>5个工作日</w:t>
      </w:r>
      <w:r>
        <w:rPr>
          <w:rFonts w:hint="eastAsia" w:ascii="仿宋_GB2312" w:hAnsi="仿宋_GB2312" w:cs="仿宋_GB2312"/>
          <w:color w:val="auto"/>
          <w:sz w:val="24"/>
          <w:highlight w:val="none"/>
        </w:rPr>
        <w:t>内以书面形式变更合同；</w:t>
      </w:r>
    </w:p>
    <w:p w14:paraId="4DBD5C22">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4.受不可抗力影响的一方在不可抗力发生后，应在</w:t>
      </w:r>
      <w:r>
        <w:rPr>
          <w:rFonts w:hint="eastAsia" w:ascii="仿宋_GB2312" w:hAnsi="仿宋_GB2312" w:cs="仿宋_GB2312"/>
          <w:color w:val="auto"/>
          <w:sz w:val="24"/>
          <w:highlight w:val="none"/>
          <w:u w:val="single"/>
        </w:rPr>
        <w:t>3个工作日</w:t>
      </w:r>
      <w:r>
        <w:rPr>
          <w:rFonts w:hint="eastAsia" w:ascii="仿宋_GB2312" w:hAnsi="仿宋_GB2312" w:cs="仿宋_GB2312"/>
          <w:color w:val="auto"/>
          <w:sz w:val="24"/>
          <w:highlight w:val="none"/>
        </w:rPr>
        <w:t>内以书面形式通知对方当事人，并在</w:t>
      </w:r>
      <w:r>
        <w:rPr>
          <w:rFonts w:hint="eastAsia" w:ascii="仿宋_GB2312" w:hAnsi="仿宋_GB2312" w:cs="仿宋_GB2312"/>
          <w:color w:val="auto"/>
          <w:sz w:val="24"/>
          <w:highlight w:val="none"/>
          <w:u w:val="single"/>
        </w:rPr>
        <w:t>3个工作日</w:t>
      </w:r>
      <w:r>
        <w:rPr>
          <w:rFonts w:hint="eastAsia" w:ascii="仿宋_GB2312" w:hAnsi="仿宋_GB2312" w:cs="仿宋_GB2312"/>
          <w:color w:val="auto"/>
          <w:sz w:val="24"/>
          <w:highlight w:val="none"/>
        </w:rPr>
        <w:t>内，将有关部门出具的证明文件送达对方当事人。</w:t>
      </w:r>
    </w:p>
    <w:p w14:paraId="7484665B">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57" w:name="_Toc25783"/>
      <w:bookmarkStart w:id="258" w:name="_Toc3638"/>
      <w:bookmarkStart w:id="259" w:name="_Toc24465"/>
      <w:bookmarkStart w:id="260" w:name="_Toc23854"/>
      <w:bookmarkStart w:id="261" w:name="_Toc14115"/>
      <w:bookmarkStart w:id="262" w:name="_Toc2231"/>
      <w:r>
        <w:rPr>
          <w:rFonts w:hint="eastAsia" w:ascii="仿宋_GB2312" w:hAnsi="仿宋_GB2312" w:cs="仿宋_GB2312"/>
          <w:b/>
          <w:color w:val="auto"/>
          <w:sz w:val="24"/>
          <w:highlight w:val="none"/>
        </w:rPr>
        <w:t>十二、税费</w:t>
      </w:r>
      <w:bookmarkEnd w:id="257"/>
      <w:bookmarkEnd w:id="258"/>
      <w:bookmarkEnd w:id="259"/>
      <w:bookmarkEnd w:id="260"/>
      <w:bookmarkEnd w:id="261"/>
      <w:bookmarkEnd w:id="262"/>
    </w:p>
    <w:p w14:paraId="1657A161">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与合同有关的一切税费，均按照中华人民共和国法律的相关规定缴纳。</w:t>
      </w:r>
    </w:p>
    <w:p w14:paraId="3AD6C481">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63" w:name="_Toc14814"/>
      <w:bookmarkStart w:id="264" w:name="_Toc25525"/>
      <w:bookmarkStart w:id="265" w:name="_Toc26883"/>
      <w:bookmarkStart w:id="266" w:name="_Toc30105"/>
      <w:bookmarkStart w:id="267" w:name="_Toc7315"/>
      <w:bookmarkStart w:id="268" w:name="_Toc22289"/>
      <w:r>
        <w:rPr>
          <w:rFonts w:hint="eastAsia" w:ascii="仿宋_GB2312" w:hAnsi="仿宋_GB2312" w:cs="仿宋_GB2312"/>
          <w:b/>
          <w:color w:val="auto"/>
          <w:sz w:val="24"/>
          <w:highlight w:val="none"/>
        </w:rPr>
        <w:t>十三、乙方破产</w:t>
      </w:r>
      <w:bookmarkEnd w:id="263"/>
      <w:bookmarkEnd w:id="264"/>
      <w:bookmarkEnd w:id="265"/>
      <w:bookmarkEnd w:id="266"/>
      <w:bookmarkEnd w:id="267"/>
      <w:bookmarkEnd w:id="268"/>
    </w:p>
    <w:p w14:paraId="5C3D6087">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9AD08D0">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69" w:name="_Toc23323"/>
      <w:bookmarkStart w:id="270" w:name="_Toc1123"/>
      <w:bookmarkStart w:id="271" w:name="_Toc2016"/>
      <w:bookmarkStart w:id="272" w:name="_Toc22340"/>
      <w:r>
        <w:rPr>
          <w:rFonts w:hint="eastAsia" w:ascii="仿宋_GB2312" w:hAnsi="仿宋_GB2312" w:cs="仿宋_GB2312"/>
          <w:b/>
          <w:color w:val="auto"/>
          <w:sz w:val="24"/>
          <w:highlight w:val="none"/>
        </w:rPr>
        <w:t>十四、合同中止、终止</w:t>
      </w:r>
      <w:bookmarkEnd w:id="269"/>
      <w:bookmarkEnd w:id="270"/>
      <w:bookmarkEnd w:id="271"/>
      <w:bookmarkEnd w:id="272"/>
    </w:p>
    <w:p w14:paraId="3E37F160">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 双方当事人不得擅自中止或者终止合同；</w:t>
      </w:r>
    </w:p>
    <w:p w14:paraId="0333B33D">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2.双方当事人应当中止或者终止合同，有过错的一方应当承担赔偿责任，双方当事人都有过错的，各自承担相应的责任；</w:t>
      </w:r>
    </w:p>
    <w:p w14:paraId="716FE9F3">
      <w:pPr>
        <w:adjustRightInd w:val="0"/>
        <w:snapToGrid w:val="0"/>
        <w:spacing w:line="360" w:lineRule="auto"/>
        <w:ind w:firstLine="464" w:firstLineChars="200"/>
        <w:rPr>
          <w:rFonts w:hint="eastAsia" w:ascii="仿宋_GB2312" w:hAnsi="仿宋_GB2312" w:cs="仿宋_GB2312"/>
          <w:color w:val="auto"/>
          <w:sz w:val="24"/>
          <w:highlight w:val="none"/>
        </w:rPr>
      </w:pPr>
      <w:bookmarkStart w:id="273" w:name="_Toc1969"/>
      <w:bookmarkStart w:id="274" w:name="_Toc14525"/>
      <w:bookmarkStart w:id="275" w:name="_Toc17363"/>
      <w:r>
        <w:rPr>
          <w:rFonts w:hint="eastAsia" w:ascii="仿宋_GB2312" w:hAnsi="仿宋_GB2312" w:cs="仿宋_GB2312"/>
          <w:color w:val="auto"/>
          <w:sz w:val="24"/>
          <w:highlight w:val="none"/>
        </w:rPr>
        <w:t>3.双方完成合同所有约定内容（含质保要求），合同自动终止；若在合同有效期之前完成的，提前终止合同，无须再另行签订终止补充协议，甲方按合同约定要求及时退还乙方履约保证金。</w:t>
      </w:r>
    </w:p>
    <w:p w14:paraId="6D6EF15C">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4.出现违约行为的，甲方有权终止或解除合同。</w:t>
      </w:r>
    </w:p>
    <w:p w14:paraId="542E3E59">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76" w:name="_Toc31449"/>
      <w:r>
        <w:rPr>
          <w:rFonts w:hint="eastAsia" w:ascii="仿宋_GB2312" w:hAnsi="仿宋_GB2312" w:cs="仿宋_GB2312"/>
          <w:b/>
          <w:color w:val="auto"/>
          <w:sz w:val="24"/>
          <w:highlight w:val="none"/>
        </w:rPr>
        <w:t>十五</w:t>
      </w:r>
      <w:bookmarkEnd w:id="273"/>
      <w:bookmarkEnd w:id="274"/>
      <w:bookmarkEnd w:id="275"/>
      <w:bookmarkStart w:id="277" w:name="_Toc12666"/>
      <w:bookmarkStart w:id="278" w:name="_Toc25198"/>
      <w:bookmarkStart w:id="279" w:name="_Toc9808"/>
      <w:bookmarkStart w:id="280" w:name="_Toc2308"/>
      <w:bookmarkStart w:id="281" w:name="_Toc31892"/>
      <w:r>
        <w:rPr>
          <w:rFonts w:hint="eastAsia" w:ascii="仿宋_GB2312" w:hAnsi="仿宋_GB2312" w:cs="仿宋_GB2312"/>
          <w:b/>
          <w:color w:val="auto"/>
          <w:sz w:val="24"/>
          <w:highlight w:val="none"/>
        </w:rPr>
        <w:t>、通知和送达</w:t>
      </w:r>
      <w:bookmarkEnd w:id="276"/>
      <w:bookmarkEnd w:id="277"/>
      <w:bookmarkEnd w:id="278"/>
      <w:bookmarkEnd w:id="279"/>
      <w:bookmarkEnd w:id="280"/>
      <w:bookmarkEnd w:id="281"/>
    </w:p>
    <w:p w14:paraId="0D1AB3C7">
      <w:pPr>
        <w:adjustRightInd w:val="0"/>
        <w:snapToGrid w:val="0"/>
        <w:spacing w:line="360" w:lineRule="auto"/>
        <w:ind w:firstLine="464" w:firstLineChars="200"/>
        <w:rPr>
          <w:rFonts w:hint="eastAsia" w:ascii="仿宋_GB2312" w:hAnsi="仿宋_GB2312" w:cs="仿宋_GB2312"/>
          <w:color w:val="auto"/>
          <w:sz w:val="24"/>
          <w:highlight w:val="none"/>
        </w:rPr>
      </w:pPr>
      <w:bookmarkStart w:id="282" w:name="_Toc27674"/>
      <w:bookmarkStart w:id="283" w:name="_Toc18401"/>
      <w:r>
        <w:rPr>
          <w:rFonts w:hint="eastAsia" w:ascii="仿宋_GB2312" w:hAnsi="仿宋_GB2312" w:cs="仿宋_GB2312"/>
          <w:color w:val="auto"/>
          <w:sz w:val="24"/>
          <w:highlight w:val="none"/>
        </w:rPr>
        <w:t>1.任何一方因履行合同等问题而以合同第二章尾部所列明的电子邮件发出的所有通知、文件、材料，均视为已向对方当事人送达；任何一方变更上述送达方式或者地址的，应于</w:t>
      </w:r>
      <w:r>
        <w:rPr>
          <w:rFonts w:hint="eastAsia" w:ascii="仿宋_GB2312" w:hAnsi="仿宋_GB2312" w:cs="仿宋_GB2312"/>
          <w:color w:val="auto"/>
          <w:sz w:val="24"/>
          <w:highlight w:val="none"/>
          <w:u w:val="single"/>
        </w:rPr>
        <w:t>3</w:t>
      </w:r>
      <w:r>
        <w:rPr>
          <w:rFonts w:hint="eastAsia" w:ascii="仿宋_GB2312" w:hAnsi="仿宋_GB2312" w:cs="仿宋_GB2312"/>
          <w:color w:val="auto"/>
          <w:sz w:val="24"/>
          <w:highlight w:val="none"/>
        </w:rPr>
        <w:t>个工作日内书面通知对方当事人，在对方当事人收到有关变更通知之前，变更前的约定送达方式或者地址仍视为有效。</w:t>
      </w:r>
    </w:p>
    <w:p w14:paraId="546F8BCB">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2.以当面交付方式送达的，交付之时视为送达；以电子邮件方式送达的，发出电子邮件之时视为送达；以邮寄方式送达的，邮件挂号寄出或者交邮之日之次日视为送达。</w:t>
      </w:r>
      <w:bookmarkEnd w:id="282"/>
      <w:bookmarkEnd w:id="283"/>
    </w:p>
    <w:p w14:paraId="5652D4EB">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84" w:name="_Toc18540"/>
      <w:bookmarkStart w:id="285" w:name="_Toc30599"/>
      <w:bookmarkStart w:id="286" w:name="_Toc4355"/>
      <w:bookmarkStart w:id="287" w:name="_Toc12735"/>
      <w:bookmarkStart w:id="288" w:name="_Toc27644"/>
      <w:bookmarkStart w:id="289" w:name="_Toc28906"/>
      <w:bookmarkStart w:id="290" w:name="_Toc5063"/>
      <w:bookmarkStart w:id="291" w:name="_Toc20808"/>
      <w:bookmarkStart w:id="292" w:name="_Toc12254"/>
      <w:r>
        <w:rPr>
          <w:rFonts w:hint="eastAsia" w:ascii="仿宋_GB2312" w:hAnsi="仿宋_GB2312" w:cs="仿宋_GB2312"/>
          <w:b/>
          <w:color w:val="auto"/>
          <w:sz w:val="24"/>
          <w:highlight w:val="none"/>
        </w:rPr>
        <w:t>十六、计量单位</w:t>
      </w:r>
      <w:bookmarkEnd w:id="284"/>
      <w:bookmarkEnd w:id="285"/>
      <w:bookmarkEnd w:id="286"/>
      <w:bookmarkEnd w:id="287"/>
    </w:p>
    <w:p w14:paraId="42BF23F9">
      <w:pPr>
        <w:adjustRightInd w:val="0"/>
        <w:snapToGrid w:val="0"/>
        <w:spacing w:line="360" w:lineRule="auto"/>
        <w:ind w:firstLine="464" w:firstLineChars="200"/>
        <w:rPr>
          <w:rFonts w:hint="eastAsia" w:ascii="仿宋_GB2312" w:hAnsi="仿宋_GB2312" w:cs="仿宋_GB2312"/>
          <w:b/>
          <w:color w:val="auto"/>
          <w:sz w:val="24"/>
          <w:highlight w:val="none"/>
        </w:rPr>
      </w:pPr>
      <w:r>
        <w:rPr>
          <w:rFonts w:hint="eastAsia" w:ascii="仿宋_GB2312" w:hAnsi="仿宋_GB2312" w:cs="仿宋_GB2312"/>
          <w:color w:val="auto"/>
          <w:sz w:val="24"/>
          <w:highlight w:val="none"/>
        </w:rPr>
        <w:t>除技术规范中另有规定外，合同的计量单位均使用国家法定计量单位。</w:t>
      </w:r>
    </w:p>
    <w:p w14:paraId="39D3D0D0">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93" w:name="_Toc15754"/>
      <w:r>
        <w:rPr>
          <w:rFonts w:hint="eastAsia" w:ascii="仿宋_GB2312" w:hAnsi="仿宋_GB2312" w:cs="仿宋_GB2312"/>
          <w:b/>
          <w:color w:val="auto"/>
          <w:sz w:val="24"/>
          <w:highlight w:val="none"/>
        </w:rPr>
        <w:t>十七、合同使用的文字和适用的法律</w:t>
      </w:r>
      <w:bookmarkEnd w:id="288"/>
      <w:bookmarkEnd w:id="289"/>
      <w:bookmarkEnd w:id="290"/>
      <w:bookmarkEnd w:id="291"/>
      <w:bookmarkEnd w:id="292"/>
      <w:bookmarkEnd w:id="293"/>
    </w:p>
    <w:p w14:paraId="0DFE8EBC">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1.合同使用汉语书写、变更和解释；</w:t>
      </w:r>
    </w:p>
    <w:p w14:paraId="79B68D99">
      <w:pPr>
        <w:adjustRightInd w:val="0"/>
        <w:snapToGrid w:val="0"/>
        <w:spacing w:line="360" w:lineRule="auto"/>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2.合同适用中华人民共和国法律。</w:t>
      </w:r>
    </w:p>
    <w:p w14:paraId="6B631579">
      <w:pPr>
        <w:adjustRightInd w:val="0"/>
        <w:snapToGrid w:val="0"/>
        <w:spacing w:line="360" w:lineRule="auto"/>
        <w:ind w:firstLine="464" w:firstLineChars="200"/>
        <w:outlineLvl w:val="0"/>
        <w:rPr>
          <w:rFonts w:hint="eastAsia" w:ascii="仿宋_GB2312" w:hAnsi="仿宋_GB2312" w:cs="仿宋_GB2312"/>
          <w:b/>
          <w:color w:val="auto"/>
          <w:sz w:val="24"/>
          <w:highlight w:val="none"/>
        </w:rPr>
      </w:pPr>
      <w:bookmarkStart w:id="294" w:name="_Toc2148"/>
      <w:r>
        <w:rPr>
          <w:rFonts w:hint="eastAsia" w:ascii="仿宋_GB2312" w:hAnsi="仿宋_GB2312" w:cs="仿宋_GB2312"/>
          <w:b/>
          <w:color w:val="auto"/>
          <w:sz w:val="24"/>
          <w:highlight w:val="none"/>
        </w:rPr>
        <w:t>十八、特别提示</w:t>
      </w:r>
      <w:bookmarkEnd w:id="294"/>
    </w:p>
    <w:p w14:paraId="533BBC91">
      <w:pPr>
        <w:adjustRightInd w:val="0"/>
        <w:snapToGrid w:val="0"/>
        <w:spacing w:line="360" w:lineRule="auto"/>
        <w:ind w:firstLine="464" w:firstLineChars="200"/>
        <w:rPr>
          <w:rFonts w:hint="eastAsia" w:ascii="仿宋_GB2312" w:hAnsi="仿宋_GB2312" w:cs="仿宋_GB2312"/>
          <w:b/>
          <w:bCs/>
          <w:color w:val="auto"/>
          <w:sz w:val="24"/>
          <w:highlight w:val="none"/>
          <w:u w:val="single"/>
        </w:rPr>
      </w:pPr>
      <w:r>
        <w:rPr>
          <w:rFonts w:hint="eastAsia" w:ascii="仿宋_GB2312" w:hAnsi="仿宋_GB2312" w:cs="仿宋_GB2312"/>
          <w:b/>
          <w:bCs/>
          <w:color w:val="auto"/>
          <w:sz w:val="24"/>
          <w:highlight w:val="none"/>
          <w:u w:val="single"/>
        </w:rPr>
        <w:t>甲乙双方共同确认：本合同系经双方协商后订立，双方已就本合同（包括但不限于合同书、合同一般条款、安全协议、廉洁协议等，本条下同）全部条款向另一方作出充分提示、说明，双方已充分理解、认可本合同全部内容，并确认本合同全部内容不存在不合理地免除或者减轻任何一方责任、加重任何一方责任、限制/排除任何一方主要权利的情形。</w:t>
      </w:r>
    </w:p>
    <w:p w14:paraId="35BDD906">
      <w:pPr>
        <w:adjustRightInd w:val="0"/>
        <w:snapToGrid w:val="0"/>
        <w:spacing w:line="360" w:lineRule="auto"/>
        <w:rPr>
          <w:rFonts w:hint="eastAsia" w:ascii="仿宋_GB2312" w:hAnsi="仿宋_GB2312" w:cs="仿宋_GB2312"/>
          <w:color w:val="auto"/>
          <w:sz w:val="24"/>
          <w:highlight w:val="none"/>
        </w:rPr>
      </w:pPr>
    </w:p>
    <w:p w14:paraId="4F3B868F">
      <w:pPr>
        <w:pStyle w:val="53"/>
        <w:ind w:left="0" w:leftChars="0" w:firstLine="0" w:firstLineChars="0"/>
        <w:jc w:val="center"/>
        <w:rPr>
          <w:rFonts w:hint="eastAsia" w:ascii="仿宋_GB2312" w:hAnsi="仿宋_GB2312" w:eastAsia="仿宋_GB2312" w:cs="仿宋_GB2312"/>
          <w:b/>
          <w:color w:val="auto"/>
          <w:szCs w:val="24"/>
          <w:highlight w:val="none"/>
        </w:rPr>
      </w:pPr>
    </w:p>
    <w:tbl>
      <w:tblPr>
        <w:tblStyle w:val="2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15995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A5EB73">
            <w:pPr>
              <w:adjustRightInd w:val="0"/>
              <w:snapToGrid w:val="0"/>
              <w:rPr>
                <w:rFonts w:hint="eastAsia" w:ascii="仿宋_GB2312" w:hAnsi="仿宋_GB2312" w:cs="仿宋_GB2312"/>
                <w:color w:val="auto"/>
                <w:sz w:val="24"/>
                <w:highlight w:val="none"/>
                <w:lang w:val="zh-CN"/>
              </w:rPr>
            </w:pPr>
            <w:r>
              <w:rPr>
                <w:rFonts w:hint="eastAsia" w:ascii="仿宋_GB2312" w:hAnsi="仿宋_GB2312" w:cs="仿宋_GB2312"/>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2D4669E7">
            <w:pPr>
              <w:adjustRightInd w:val="0"/>
              <w:snapToGrid w:val="0"/>
              <w:rPr>
                <w:rFonts w:hint="eastAsia" w:ascii="仿宋_GB2312" w:hAnsi="仿宋_GB2312" w:cs="仿宋_GB2312"/>
                <w:color w:val="auto"/>
                <w:sz w:val="24"/>
                <w:highlight w:val="none"/>
                <w:lang w:val="zh-CN"/>
              </w:rPr>
            </w:pPr>
            <w:r>
              <w:rPr>
                <w:rFonts w:hint="eastAsia" w:ascii="仿宋_GB2312" w:hAnsi="仿宋_GB2312" w:cs="仿宋_GB2312"/>
                <w:color w:val="auto"/>
                <w:sz w:val="24"/>
                <w:highlight w:val="none"/>
                <w:lang w:val="zh-CN"/>
              </w:rPr>
              <w:t xml:space="preserve">乙方： </w:t>
            </w:r>
          </w:p>
        </w:tc>
      </w:tr>
      <w:tr w14:paraId="77365F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4CB9C90">
            <w:pPr>
              <w:adjustRightInd w:val="0"/>
              <w:snapToGrid w:val="0"/>
              <w:rPr>
                <w:rFonts w:hint="eastAsia" w:ascii="仿宋_GB2312" w:hAnsi="仿宋_GB2312" w:cs="仿宋_GB2312"/>
                <w:color w:val="auto"/>
                <w:sz w:val="24"/>
                <w:highlight w:val="none"/>
                <w:lang w:val="zh-CN"/>
              </w:rPr>
            </w:pPr>
            <w:r>
              <w:rPr>
                <w:rFonts w:hint="eastAsia" w:ascii="仿宋_GB2312" w:hAnsi="仿宋_GB2312" w:cs="仿宋_GB2312"/>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724225B0">
            <w:pPr>
              <w:adjustRightInd w:val="0"/>
              <w:snapToGrid w:val="0"/>
              <w:rPr>
                <w:rFonts w:hint="eastAsia" w:ascii="仿宋_GB2312" w:hAnsi="仿宋_GB2312" w:cs="仿宋_GB2312"/>
                <w:color w:val="auto"/>
                <w:sz w:val="24"/>
                <w:highlight w:val="none"/>
              </w:rPr>
            </w:pPr>
            <w:r>
              <w:rPr>
                <w:rFonts w:hint="eastAsia" w:ascii="仿宋_GB2312" w:hAnsi="仿宋_GB2312" w:cs="仿宋_GB2312"/>
                <w:color w:val="auto"/>
                <w:sz w:val="24"/>
                <w:highlight w:val="none"/>
                <w:lang w:val="zh-CN"/>
              </w:rPr>
              <w:t>统一社会信用代码：</w:t>
            </w:r>
          </w:p>
          <w:p w14:paraId="6EACD363">
            <w:pPr>
              <w:adjustRightInd w:val="0"/>
              <w:snapToGrid w:val="0"/>
              <w:rPr>
                <w:rFonts w:hint="eastAsia" w:ascii="仿宋_GB2312" w:hAnsi="仿宋_GB2312" w:cs="仿宋_GB2312"/>
                <w:color w:val="auto"/>
                <w:sz w:val="24"/>
                <w:highlight w:val="none"/>
                <w:lang w:val="zh-CN"/>
              </w:rPr>
            </w:pPr>
          </w:p>
        </w:tc>
      </w:tr>
      <w:tr w14:paraId="527F60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C0B9ECD">
            <w:pPr>
              <w:adjustRightInd w:val="0"/>
              <w:snapToGrid w:val="0"/>
              <w:rPr>
                <w:rFonts w:hint="eastAsia" w:ascii="仿宋_GB2312" w:hAnsi="仿宋_GB2312" w:cs="仿宋_GB2312"/>
                <w:color w:val="auto"/>
                <w:sz w:val="24"/>
                <w:highlight w:val="none"/>
                <w:lang w:val="zh-CN"/>
              </w:rPr>
            </w:pPr>
            <w:r>
              <w:rPr>
                <w:rFonts w:hint="eastAsia" w:ascii="仿宋_GB2312" w:hAnsi="仿宋_GB2312" w:cs="仿宋_GB2312"/>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4D82138">
            <w:pPr>
              <w:adjustRightInd w:val="0"/>
              <w:snapToGrid w:val="0"/>
              <w:rPr>
                <w:rFonts w:hint="eastAsia" w:ascii="仿宋_GB2312" w:hAnsi="仿宋_GB2312" w:cs="仿宋_GB2312"/>
                <w:color w:val="auto"/>
                <w:sz w:val="24"/>
                <w:highlight w:val="none"/>
                <w:lang w:val="zh-CN"/>
              </w:rPr>
            </w:pPr>
            <w:r>
              <w:rPr>
                <w:rFonts w:hint="eastAsia" w:ascii="仿宋_GB2312" w:hAnsi="仿宋_GB2312" w:cs="仿宋_GB2312"/>
                <w:color w:val="auto"/>
                <w:sz w:val="24"/>
                <w:highlight w:val="none"/>
                <w:lang w:val="zh-CN"/>
              </w:rPr>
              <w:t>地址：</w:t>
            </w:r>
          </w:p>
        </w:tc>
      </w:tr>
      <w:tr w14:paraId="31E5DFC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B9A4BDB">
            <w:pPr>
              <w:adjustRightInd w:val="0"/>
              <w:snapToGrid w:val="0"/>
              <w:rPr>
                <w:rFonts w:hint="eastAsia" w:ascii="仿宋_GB2312" w:hAnsi="仿宋_GB2312" w:cs="仿宋_GB2312"/>
                <w:color w:val="auto"/>
                <w:sz w:val="24"/>
                <w:highlight w:val="none"/>
              </w:rPr>
            </w:pPr>
            <w:r>
              <w:rPr>
                <w:rFonts w:hint="eastAsia" w:ascii="仿宋_GB2312" w:hAnsi="仿宋_GB2312" w:cs="仿宋_GB2312"/>
                <w:color w:val="auto"/>
                <w:sz w:val="24"/>
                <w:highlight w:val="none"/>
                <w:lang w:val="zh-CN"/>
              </w:rPr>
              <w:t>电子邮箱</w:t>
            </w:r>
            <w:r>
              <w:rPr>
                <w:rFonts w:hint="eastAsia" w:ascii="仿宋_GB2312" w:hAnsi="仿宋_GB2312" w:cs="仿宋_GB2312"/>
                <w:color w:val="auto"/>
                <w:sz w:val="24"/>
                <w:highlight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95D0DC3">
            <w:pPr>
              <w:adjustRightInd w:val="0"/>
              <w:snapToGrid w:val="0"/>
              <w:rPr>
                <w:rFonts w:hint="eastAsia" w:ascii="仿宋_GB2312" w:hAnsi="仿宋_GB2312" w:cs="仿宋_GB2312"/>
                <w:color w:val="auto"/>
                <w:sz w:val="24"/>
                <w:highlight w:val="none"/>
              </w:rPr>
            </w:pPr>
            <w:r>
              <w:rPr>
                <w:rFonts w:hint="eastAsia" w:ascii="仿宋_GB2312" w:hAnsi="仿宋_GB2312" w:cs="仿宋_GB2312"/>
                <w:color w:val="auto"/>
                <w:sz w:val="24"/>
                <w:highlight w:val="none"/>
                <w:lang w:val="zh-CN"/>
              </w:rPr>
              <w:t>电子邮箱：</w:t>
            </w:r>
          </w:p>
        </w:tc>
      </w:tr>
      <w:tr w14:paraId="53181C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AC60139">
            <w:pPr>
              <w:adjustRightInd w:val="0"/>
              <w:snapToGrid w:val="0"/>
              <w:rPr>
                <w:rFonts w:hint="eastAsia" w:ascii="仿宋_GB2312" w:hAnsi="仿宋_GB2312" w:cs="仿宋_GB2312"/>
                <w:color w:val="auto"/>
                <w:sz w:val="24"/>
                <w:highlight w:val="none"/>
                <w:lang w:val="zh-CN"/>
              </w:rPr>
            </w:pPr>
            <w:r>
              <w:rPr>
                <w:rFonts w:hint="eastAsia" w:ascii="仿宋_GB2312" w:hAnsi="仿宋_GB2312" w:cs="仿宋_GB2312"/>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929C930">
            <w:pPr>
              <w:adjustRightInd w:val="0"/>
              <w:snapToGrid w:val="0"/>
              <w:rPr>
                <w:rFonts w:hint="eastAsia" w:ascii="仿宋_GB2312" w:hAnsi="仿宋_GB2312" w:cs="仿宋_GB2312"/>
                <w:color w:val="auto"/>
                <w:sz w:val="24"/>
                <w:highlight w:val="none"/>
                <w:lang w:val="zh-CN"/>
              </w:rPr>
            </w:pPr>
            <w:r>
              <w:rPr>
                <w:rFonts w:hint="eastAsia" w:ascii="仿宋_GB2312" w:hAnsi="仿宋_GB2312" w:cs="仿宋_GB2312"/>
                <w:color w:val="auto"/>
                <w:sz w:val="24"/>
                <w:highlight w:val="none"/>
                <w:lang w:val="zh-CN"/>
              </w:rPr>
              <w:t>法定代表人或授权代表（签字）：</w:t>
            </w:r>
          </w:p>
        </w:tc>
      </w:tr>
      <w:tr w14:paraId="13E075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0410A4">
            <w:pPr>
              <w:adjustRightInd w:val="0"/>
              <w:snapToGrid w:val="0"/>
              <w:rPr>
                <w:rFonts w:hint="eastAsia" w:ascii="仿宋_GB2312" w:hAnsi="仿宋_GB2312" w:cs="仿宋_GB2312"/>
                <w:color w:val="auto"/>
                <w:sz w:val="24"/>
                <w:highlight w:val="none"/>
                <w:lang w:val="zh-CN"/>
              </w:rPr>
            </w:pPr>
            <w:r>
              <w:rPr>
                <w:rFonts w:hint="eastAsia" w:ascii="仿宋_GB2312" w:hAnsi="仿宋_GB2312" w:cs="仿宋_GB2312"/>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9FF5804">
            <w:pPr>
              <w:adjustRightInd w:val="0"/>
              <w:snapToGrid w:val="0"/>
              <w:rPr>
                <w:rFonts w:hint="eastAsia" w:ascii="仿宋_GB2312" w:hAnsi="仿宋_GB2312" w:cs="仿宋_GB2312"/>
                <w:color w:val="auto"/>
                <w:sz w:val="24"/>
                <w:highlight w:val="none"/>
              </w:rPr>
            </w:pPr>
            <w:r>
              <w:rPr>
                <w:rFonts w:hint="eastAsia" w:ascii="仿宋_GB2312" w:hAnsi="仿宋_GB2312" w:cs="仿宋_GB2312"/>
                <w:color w:val="auto"/>
                <w:sz w:val="24"/>
                <w:highlight w:val="none"/>
                <w:lang w:val="zh-CN"/>
              </w:rPr>
              <w:t>开户银行：</w:t>
            </w:r>
          </w:p>
        </w:tc>
      </w:tr>
      <w:tr w14:paraId="475628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50D9C13">
            <w:pPr>
              <w:adjustRightInd w:val="0"/>
              <w:snapToGrid w:val="0"/>
              <w:rPr>
                <w:rFonts w:hint="eastAsia" w:ascii="仿宋_GB2312" w:hAnsi="仿宋_GB2312" w:cs="仿宋_GB2312"/>
                <w:color w:val="auto"/>
                <w:sz w:val="24"/>
                <w:highlight w:val="none"/>
                <w:lang w:val="zh-CN"/>
              </w:rPr>
            </w:pPr>
            <w:r>
              <w:rPr>
                <w:rFonts w:hint="eastAsia" w:ascii="仿宋_GB2312" w:hAnsi="仿宋_GB2312" w:cs="仿宋_GB2312"/>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6293EAD">
            <w:pPr>
              <w:adjustRightInd w:val="0"/>
              <w:snapToGrid w:val="0"/>
              <w:rPr>
                <w:rFonts w:hint="eastAsia" w:ascii="仿宋_GB2312" w:hAnsi="仿宋_GB2312" w:cs="仿宋_GB2312"/>
                <w:color w:val="auto"/>
                <w:sz w:val="24"/>
                <w:highlight w:val="none"/>
              </w:rPr>
            </w:pPr>
            <w:r>
              <w:rPr>
                <w:rFonts w:hint="eastAsia" w:ascii="仿宋_GB2312" w:hAnsi="仿宋_GB2312" w:cs="仿宋_GB2312"/>
                <w:color w:val="auto"/>
                <w:sz w:val="24"/>
                <w:highlight w:val="none"/>
                <w:lang w:val="zh-CN"/>
              </w:rPr>
              <w:t>开户账号：</w:t>
            </w:r>
          </w:p>
        </w:tc>
      </w:tr>
    </w:tbl>
    <w:p w14:paraId="4F4B2CD9">
      <w:pPr>
        <w:pStyle w:val="53"/>
        <w:spacing w:line="240" w:lineRule="auto"/>
        <w:ind w:left="0" w:leftChars="0" w:firstLine="0" w:firstLineChars="0"/>
        <w:jc w:val="center"/>
        <w:rPr>
          <w:rFonts w:hint="eastAsia" w:ascii="仿宋_GB2312" w:hAnsi="仿宋_GB2312" w:eastAsia="仿宋_GB2312" w:cs="仿宋_GB2312"/>
          <w:b/>
          <w:color w:val="auto"/>
          <w:szCs w:val="24"/>
          <w:highlight w:val="none"/>
        </w:rPr>
      </w:pPr>
    </w:p>
    <w:p w14:paraId="12046E88">
      <w:pPr>
        <w:pStyle w:val="53"/>
        <w:spacing w:line="240" w:lineRule="auto"/>
        <w:ind w:left="0" w:leftChars="0" w:firstLine="0" w:firstLineChars="0"/>
        <w:jc w:val="center"/>
        <w:rPr>
          <w:rFonts w:hint="eastAsia" w:ascii="仿宋_GB2312" w:hAnsi="仿宋_GB2312" w:eastAsia="仿宋_GB2312" w:cs="仿宋_GB2312"/>
          <w:b/>
          <w:color w:val="auto"/>
          <w:szCs w:val="24"/>
          <w:highlight w:val="none"/>
        </w:rPr>
      </w:pPr>
    </w:p>
    <w:p w14:paraId="4F1107E2">
      <w:pPr>
        <w:adjustRightInd w:val="0"/>
        <w:snapToGrid w:val="0"/>
        <w:rPr>
          <w:rFonts w:hint="eastAsia" w:ascii="仿宋_GB2312" w:hAnsi="仿宋_GB2312" w:cs="仿宋_GB2312"/>
          <w:color w:val="auto"/>
          <w:sz w:val="24"/>
          <w:highlight w:val="none"/>
        </w:rPr>
      </w:pPr>
    </w:p>
    <w:p w14:paraId="5B6856F2">
      <w:pPr>
        <w:pStyle w:val="17"/>
        <w:rPr>
          <w:rFonts w:hint="eastAsia" w:ascii="仿宋_GB2312" w:hAnsi="仿宋_GB2312" w:eastAsia="仿宋_GB2312" w:cs="仿宋_GB2312"/>
          <w:color w:val="auto"/>
          <w:sz w:val="24"/>
          <w:highlight w:val="none"/>
        </w:rPr>
      </w:pPr>
    </w:p>
    <w:p w14:paraId="3D8C386D">
      <w:pPr>
        <w:pStyle w:val="53"/>
        <w:spacing w:line="240" w:lineRule="auto"/>
        <w:ind w:left="0" w:leftChars="0" w:firstLine="0" w:firstLineChars="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第三章  安全协议</w:t>
      </w:r>
    </w:p>
    <w:p w14:paraId="475D826B">
      <w:pPr>
        <w:widowControl/>
        <w:adjustRightInd w:val="0"/>
        <w:snapToGrid w:val="0"/>
        <w:jc w:val="left"/>
        <w:rPr>
          <w:rFonts w:hint="eastAsia" w:ascii="仿宋_GB2312" w:hAnsi="仿宋_GB2312" w:cs="仿宋_GB2312"/>
          <w:color w:val="auto"/>
          <w:sz w:val="24"/>
          <w:highlight w:val="none"/>
        </w:rPr>
      </w:pPr>
      <w:r>
        <w:rPr>
          <w:rFonts w:hint="eastAsia" w:ascii="仿宋_GB2312" w:hAnsi="仿宋_GB2312" w:cs="仿宋_GB2312"/>
          <w:color w:val="auto"/>
          <w:kern w:val="0"/>
          <w:sz w:val="24"/>
          <w:highlight w:val="none"/>
          <w:lang w:bidi="ar"/>
        </w:rPr>
        <w:t>发包单位：</w:t>
      </w:r>
      <w:r>
        <w:rPr>
          <w:rFonts w:hint="eastAsia" w:ascii="仿宋_GB2312" w:hAnsi="仿宋_GB2312" w:cs="仿宋_GB2312"/>
          <w:color w:val="auto"/>
          <w:kern w:val="0"/>
          <w:sz w:val="24"/>
          <w:highlight w:val="none"/>
          <w:u w:val="single"/>
          <w:lang w:bidi="ar"/>
        </w:rPr>
        <w:t>杭州临江环境能源有限公司</w:t>
      </w:r>
      <w:r>
        <w:rPr>
          <w:rFonts w:hint="eastAsia" w:ascii="仿宋_GB2312" w:hAnsi="仿宋_GB2312" w:cs="仿宋_GB2312"/>
          <w:color w:val="auto"/>
          <w:kern w:val="0"/>
          <w:sz w:val="24"/>
          <w:highlight w:val="none"/>
          <w:lang w:bidi="ar"/>
        </w:rPr>
        <w:t xml:space="preserve">（简称甲方） </w:t>
      </w:r>
    </w:p>
    <w:p w14:paraId="6961197C">
      <w:pPr>
        <w:widowControl/>
        <w:adjustRightInd w:val="0"/>
        <w:snapToGrid w:val="0"/>
        <w:jc w:val="left"/>
        <w:rPr>
          <w:rFonts w:hint="eastAsia" w:ascii="仿宋_GB2312" w:hAnsi="仿宋_GB2312" w:cs="仿宋_GB2312"/>
          <w:color w:val="auto"/>
          <w:sz w:val="24"/>
          <w:highlight w:val="none"/>
        </w:rPr>
      </w:pPr>
      <w:r>
        <w:rPr>
          <w:rFonts w:hint="eastAsia" w:ascii="仿宋_GB2312" w:hAnsi="仿宋_GB2312" w:cs="仿宋_GB2312"/>
          <w:color w:val="auto"/>
          <w:kern w:val="0"/>
          <w:sz w:val="24"/>
          <w:highlight w:val="none"/>
          <w:lang w:bidi="ar"/>
        </w:rPr>
        <w:t>承包单位：</w:t>
      </w:r>
      <w:r>
        <w:rPr>
          <w:rFonts w:hint="eastAsia" w:ascii="仿宋_GB2312" w:hAnsi="仿宋_GB2312" w:cs="仿宋_GB2312"/>
          <w:color w:val="auto"/>
          <w:kern w:val="0"/>
          <w:sz w:val="24"/>
          <w:highlight w:val="none"/>
          <w:u w:val="single"/>
          <w:lang w:bidi="ar"/>
        </w:rPr>
        <w:t xml:space="preserve">                       </w:t>
      </w:r>
      <w:r>
        <w:rPr>
          <w:rFonts w:hint="eastAsia" w:ascii="仿宋_GB2312" w:hAnsi="仿宋_GB2312" w:cs="仿宋_GB2312"/>
          <w:color w:val="auto"/>
          <w:kern w:val="0"/>
          <w:sz w:val="24"/>
          <w:highlight w:val="none"/>
          <w:lang w:bidi="ar"/>
        </w:rPr>
        <w:t xml:space="preserve">（简称乙方） </w:t>
      </w:r>
    </w:p>
    <w:p w14:paraId="4D1BA959">
      <w:pPr>
        <w:widowControl/>
        <w:adjustRightInd w:val="0"/>
        <w:snapToGrid w:val="0"/>
        <w:ind w:firstLine="464" w:firstLineChars="200"/>
        <w:jc w:val="left"/>
        <w:rPr>
          <w:rFonts w:hint="eastAsia" w:ascii="仿宋_GB2312" w:hAnsi="仿宋_GB2312" w:cs="仿宋_GB2312"/>
          <w:color w:val="auto"/>
          <w:sz w:val="24"/>
          <w:highlight w:val="none"/>
        </w:rPr>
      </w:pPr>
      <w:r>
        <w:rPr>
          <w:rFonts w:hint="eastAsia" w:ascii="仿宋_GB2312" w:hAnsi="仿宋_GB2312" w:cs="仿宋_GB2312"/>
          <w:color w:val="auto"/>
          <w:kern w:val="0"/>
          <w:sz w:val="24"/>
          <w:highlight w:val="none"/>
          <w:lang w:bidi="ar"/>
        </w:rPr>
        <w:t>甲方将</w:t>
      </w:r>
      <w:r>
        <w:rPr>
          <w:rFonts w:hint="eastAsia" w:ascii="仿宋_GB2312" w:hAnsi="仿宋_GB2312" w:cs="仿宋_GB2312"/>
          <w:color w:val="auto"/>
          <w:kern w:val="0"/>
          <w:sz w:val="24"/>
          <w:highlight w:val="none"/>
          <w:u w:val="single"/>
          <w:lang w:bidi="ar"/>
        </w:rPr>
        <w:t xml:space="preserve">      2025年—2028年垃圾吊改造项目       </w:t>
      </w:r>
      <w:r>
        <w:rPr>
          <w:rFonts w:hint="eastAsia" w:ascii="仿宋_GB2312" w:hAnsi="仿宋_GB2312" w:cs="仿宋_GB2312"/>
          <w:color w:val="auto"/>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93CAC79">
      <w:pPr>
        <w:widowControl/>
        <w:adjustRightInd w:val="0"/>
        <w:snapToGrid w:val="0"/>
        <w:ind w:firstLine="464" w:firstLineChars="200"/>
        <w:jc w:val="left"/>
        <w:rPr>
          <w:rFonts w:hint="eastAsia" w:ascii="仿宋_GB2312" w:hAnsi="仿宋_GB2312" w:cs="仿宋_GB2312"/>
          <w:color w:val="auto"/>
          <w:sz w:val="24"/>
          <w:highlight w:val="none"/>
        </w:rPr>
      </w:pPr>
      <w:r>
        <w:rPr>
          <w:rFonts w:hint="eastAsia" w:ascii="仿宋_GB2312" w:hAnsi="仿宋_GB2312" w:cs="仿宋_GB2312"/>
          <w:color w:val="auto"/>
          <w:kern w:val="0"/>
          <w:sz w:val="24"/>
          <w:highlight w:val="none"/>
          <w:lang w:bidi="ar"/>
        </w:rPr>
        <w:t xml:space="preserve">一、服务项目 </w:t>
      </w:r>
    </w:p>
    <w:p w14:paraId="67B1826F">
      <w:pPr>
        <w:widowControl/>
        <w:adjustRightInd w:val="0"/>
        <w:snapToGrid w:val="0"/>
        <w:ind w:firstLine="464" w:firstLineChars="200"/>
        <w:jc w:val="left"/>
        <w:rPr>
          <w:rFonts w:hint="eastAsia" w:ascii="仿宋_GB2312" w:hAnsi="仿宋_GB2312" w:cs="仿宋_GB2312"/>
          <w:color w:val="auto"/>
          <w:sz w:val="24"/>
          <w:highlight w:val="none"/>
        </w:rPr>
      </w:pPr>
      <w:r>
        <w:rPr>
          <w:rFonts w:hint="eastAsia" w:ascii="仿宋_GB2312" w:hAnsi="仿宋_GB2312" w:cs="仿宋_GB2312"/>
          <w:color w:val="auto"/>
          <w:kern w:val="0"/>
          <w:sz w:val="24"/>
          <w:highlight w:val="none"/>
          <w:lang w:bidi="ar"/>
        </w:rPr>
        <w:t xml:space="preserve">1.项目名称： </w:t>
      </w:r>
      <w:r>
        <w:rPr>
          <w:rFonts w:hint="eastAsia" w:ascii="仿宋_GB2312" w:hAnsi="仿宋_GB2312" w:cs="仿宋_GB2312"/>
          <w:color w:val="auto"/>
          <w:kern w:val="0"/>
          <w:sz w:val="24"/>
          <w:highlight w:val="none"/>
          <w:u w:val="single"/>
          <w:lang w:bidi="ar"/>
        </w:rPr>
        <w:t xml:space="preserve">      2025年—2028年垃圾吊改造项目              </w:t>
      </w:r>
    </w:p>
    <w:p w14:paraId="1FE5CC6B">
      <w:pPr>
        <w:widowControl/>
        <w:adjustRightInd w:val="0"/>
        <w:snapToGrid w:val="0"/>
        <w:ind w:firstLine="464" w:firstLineChars="200"/>
        <w:jc w:val="left"/>
        <w:rPr>
          <w:rFonts w:hint="eastAsia" w:ascii="仿宋_GB2312" w:hAnsi="仿宋_GB2312" w:cs="仿宋_GB2312"/>
          <w:color w:val="auto"/>
          <w:sz w:val="24"/>
          <w:highlight w:val="none"/>
        </w:rPr>
      </w:pPr>
      <w:r>
        <w:rPr>
          <w:rFonts w:hint="eastAsia" w:ascii="仿宋_GB2312" w:hAnsi="仿宋_GB2312" w:cs="仿宋_GB2312"/>
          <w:color w:val="auto"/>
          <w:kern w:val="0"/>
          <w:sz w:val="24"/>
          <w:highlight w:val="none"/>
          <w:lang w:bidi="ar"/>
        </w:rPr>
        <w:t xml:space="preserve">2.项目地址：位于浙江省杭州钱塘区临江街道杭州临江环境能源有限公司厂区内。 </w:t>
      </w:r>
    </w:p>
    <w:p w14:paraId="4DDFF485">
      <w:pPr>
        <w:adjustRightInd w:val="0"/>
        <w:snapToGrid w:val="0"/>
        <w:ind w:firstLine="580" w:firstLineChars="250"/>
        <w:rPr>
          <w:rFonts w:hint="eastAsia" w:ascii="仿宋_GB2312" w:hAnsi="仿宋_GB2312" w:cs="仿宋_GB2312"/>
          <w:b/>
          <w:color w:val="auto"/>
          <w:sz w:val="24"/>
          <w:highlight w:val="none"/>
        </w:rPr>
      </w:pPr>
      <w:r>
        <w:rPr>
          <w:rFonts w:hint="eastAsia" w:ascii="仿宋_GB2312" w:hAnsi="仿宋_GB2312" w:cs="仿宋_GB2312"/>
          <w:b/>
          <w:color w:val="auto"/>
          <w:sz w:val="24"/>
          <w:highlight w:val="none"/>
        </w:rPr>
        <w:t>二、甲方职责</w:t>
      </w:r>
    </w:p>
    <w:p w14:paraId="23B46F61">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1.甲方对乙方资质进行审查，确保符合要求，并为乙方正常服务场所工作提供便利，</w:t>
      </w:r>
      <w:r>
        <w:rPr>
          <w:rFonts w:hint="eastAsia" w:ascii="仿宋_GB2312" w:hAnsi="仿宋_GB2312" w:cs="仿宋_GB2312"/>
          <w:color w:val="auto"/>
          <w:sz w:val="24"/>
          <w:highlight w:val="none"/>
          <w:u w:val="single"/>
        </w:rPr>
        <w:t xml:space="preserve">           </w:t>
      </w:r>
      <w:r>
        <w:rPr>
          <w:rFonts w:hint="eastAsia" w:ascii="仿宋_GB2312" w:hAnsi="仿宋_GB2312" w:cs="仿宋_GB2312"/>
          <w:color w:val="auto"/>
          <w:sz w:val="24"/>
          <w:highlight w:val="none"/>
        </w:rPr>
        <w:t>项目实施前就各实施区域的现状及周边情况向乙方进行交底。如：实施项目周边的电缆线、消防管道及排水沟及周边车辆行驶情况等。</w:t>
      </w:r>
    </w:p>
    <w:p w14:paraId="5C21A6A4">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2.为本项目指定专人负责具体的联系沟通工作。</w:t>
      </w:r>
    </w:p>
    <w:p w14:paraId="1202C995">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3.做好与本项目有关的其他各级单位的沟通协调工作。</w:t>
      </w:r>
    </w:p>
    <w:p w14:paraId="0FFC111B">
      <w:pPr>
        <w:adjustRightInd w:val="0"/>
        <w:snapToGrid w:val="0"/>
        <w:ind w:firstLine="464" w:firstLineChars="200"/>
        <w:rPr>
          <w:rFonts w:hint="eastAsia" w:ascii="仿宋_GB2312" w:hAnsi="仿宋_GB2312" w:cs="仿宋_GB2312"/>
          <w:b/>
          <w:color w:val="auto"/>
          <w:sz w:val="24"/>
          <w:highlight w:val="none"/>
        </w:rPr>
      </w:pPr>
      <w:r>
        <w:rPr>
          <w:rFonts w:hint="eastAsia" w:ascii="仿宋_GB2312" w:hAnsi="仿宋_GB2312" w:cs="仿宋_GB2312"/>
          <w:b/>
          <w:color w:val="auto"/>
          <w:sz w:val="24"/>
          <w:highlight w:val="none"/>
        </w:rPr>
        <w:t>三、乙方职责</w:t>
      </w:r>
    </w:p>
    <w:p w14:paraId="5428E038">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1.乙方应落实安全管理人员和安全管理措施。</w:t>
      </w:r>
    </w:p>
    <w:p w14:paraId="3F2EB303">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2.乙方在项目服务期间，必须对工作人员进行安全生产教育，落实安全技术交底工作，确保各类专业技术人员持证上岗。</w:t>
      </w:r>
    </w:p>
    <w:p w14:paraId="7D965ECA">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3.乙方应遵守甲方相关的安全生产管理制度，在禁烟区内严禁吸烟以及擅自动用各类明火（动用需经审批），并在现场设置灭火器材及警示标识。</w:t>
      </w:r>
    </w:p>
    <w:p w14:paraId="0CBF7062">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4.乙方在项目服务期间应严格按照用电规范要求，严禁私拉乱接电线，各类电器、照明设备必须使用防爆产品或设置防爆装置。</w:t>
      </w:r>
    </w:p>
    <w:p w14:paraId="274722F7">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5.乙方内部要建立安全生产检查制度、落实自查自检，按“定人、定时间、定措施”的隐患整改原则，消除现场不安全因素。</w:t>
      </w:r>
    </w:p>
    <w:p w14:paraId="6F151C85">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6．安全、规范、文明、科学作业，不损坏甲方的地上地下各类设施，确保项目实施区域安全有序。</w:t>
      </w:r>
    </w:p>
    <w:p w14:paraId="17F3FC66">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7.接受甲方的监督检查。</w:t>
      </w:r>
    </w:p>
    <w:p w14:paraId="0626A60E">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b/>
          <w:color w:val="auto"/>
          <w:sz w:val="24"/>
          <w:highlight w:val="none"/>
        </w:rPr>
        <w:t>四、违约责任</w:t>
      </w:r>
    </w:p>
    <w:p w14:paraId="13BD2820">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1.在项目服务过程中，乙方必须做到安全生产，并服从甲方管理人员的调度指挥，有下列行为的，乙方扣罚履约保证金500-1000元/次：</w:t>
      </w:r>
    </w:p>
    <w:p w14:paraId="5AB92093">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fldChar w:fldCharType="begin"/>
      </w:r>
      <w:r>
        <w:rPr>
          <w:rFonts w:hint="eastAsia" w:ascii="仿宋_GB2312" w:hAnsi="仿宋_GB2312" w:cs="仿宋_GB2312"/>
          <w:color w:val="auto"/>
          <w:sz w:val="24"/>
          <w:highlight w:val="none"/>
        </w:rPr>
        <w:instrText xml:space="preserve"> = 1 \* GB3 </w:instrText>
      </w:r>
      <w:r>
        <w:rPr>
          <w:rFonts w:hint="eastAsia" w:ascii="仿宋_GB2312" w:hAnsi="仿宋_GB2312" w:cs="仿宋_GB2312"/>
          <w:color w:val="auto"/>
          <w:sz w:val="24"/>
          <w:highlight w:val="none"/>
        </w:rPr>
        <w:fldChar w:fldCharType="separate"/>
      </w:r>
      <w:r>
        <w:rPr>
          <w:rFonts w:hint="eastAsia" w:ascii="仿宋_GB2312" w:hAnsi="仿宋_GB2312" w:cs="仿宋_GB2312"/>
          <w:color w:val="auto"/>
          <w:sz w:val="24"/>
          <w:highlight w:val="none"/>
        </w:rPr>
        <w:t>①</w:t>
      </w:r>
      <w:r>
        <w:rPr>
          <w:rFonts w:hint="eastAsia" w:ascii="仿宋_GB2312" w:hAnsi="仿宋_GB2312" w:cs="仿宋_GB2312"/>
          <w:color w:val="auto"/>
          <w:sz w:val="24"/>
          <w:highlight w:val="none"/>
        </w:rPr>
        <w:fldChar w:fldCharType="end"/>
      </w:r>
      <w:r>
        <w:rPr>
          <w:rFonts w:hint="eastAsia" w:ascii="仿宋_GB2312" w:hAnsi="仿宋_GB2312" w:cs="仿宋_GB2312"/>
          <w:color w:val="auto"/>
          <w:sz w:val="24"/>
          <w:highlight w:val="none"/>
        </w:rPr>
        <w:t>不服从甲方指挥，强令冒险作业；</w:t>
      </w:r>
    </w:p>
    <w:p w14:paraId="0B239626">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fldChar w:fldCharType="begin"/>
      </w:r>
      <w:r>
        <w:rPr>
          <w:rFonts w:hint="eastAsia" w:ascii="仿宋_GB2312" w:hAnsi="仿宋_GB2312" w:cs="仿宋_GB2312"/>
          <w:color w:val="auto"/>
          <w:sz w:val="24"/>
          <w:highlight w:val="none"/>
        </w:rPr>
        <w:instrText xml:space="preserve"> = 2 \* GB3 </w:instrText>
      </w:r>
      <w:r>
        <w:rPr>
          <w:rFonts w:hint="eastAsia" w:ascii="仿宋_GB2312" w:hAnsi="仿宋_GB2312" w:cs="仿宋_GB2312"/>
          <w:color w:val="auto"/>
          <w:sz w:val="24"/>
          <w:highlight w:val="none"/>
        </w:rPr>
        <w:fldChar w:fldCharType="separate"/>
      </w:r>
      <w:r>
        <w:rPr>
          <w:rFonts w:hint="eastAsia" w:ascii="仿宋_GB2312" w:hAnsi="仿宋_GB2312" w:cs="仿宋_GB2312"/>
          <w:color w:val="auto"/>
          <w:sz w:val="24"/>
          <w:highlight w:val="none"/>
        </w:rPr>
        <w:t>②</w:t>
      </w:r>
      <w:r>
        <w:rPr>
          <w:rFonts w:hint="eastAsia" w:ascii="仿宋_GB2312" w:hAnsi="仿宋_GB2312" w:cs="仿宋_GB2312"/>
          <w:color w:val="auto"/>
          <w:sz w:val="24"/>
          <w:highlight w:val="none"/>
        </w:rPr>
        <w:fldChar w:fldCharType="end"/>
      </w:r>
      <w:r>
        <w:rPr>
          <w:rFonts w:hint="eastAsia" w:ascii="仿宋_GB2312" w:hAnsi="仿宋_GB2312" w:cs="仿宋_GB2312"/>
          <w:color w:val="auto"/>
          <w:sz w:val="24"/>
          <w:highlight w:val="none"/>
        </w:rPr>
        <w:t>未按要求参加甲方组织的各项安全检查、会议活动；</w:t>
      </w:r>
    </w:p>
    <w:p w14:paraId="6F43F51C">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fldChar w:fldCharType="begin"/>
      </w:r>
      <w:r>
        <w:rPr>
          <w:rFonts w:hint="eastAsia" w:ascii="仿宋_GB2312" w:hAnsi="仿宋_GB2312" w:cs="仿宋_GB2312"/>
          <w:color w:val="auto"/>
          <w:sz w:val="24"/>
          <w:highlight w:val="none"/>
        </w:rPr>
        <w:instrText xml:space="preserve"> = 3 \* GB3 </w:instrText>
      </w:r>
      <w:r>
        <w:rPr>
          <w:rFonts w:hint="eastAsia" w:ascii="仿宋_GB2312" w:hAnsi="仿宋_GB2312" w:cs="仿宋_GB2312"/>
          <w:color w:val="auto"/>
          <w:sz w:val="24"/>
          <w:highlight w:val="none"/>
        </w:rPr>
        <w:fldChar w:fldCharType="separate"/>
      </w:r>
      <w:r>
        <w:rPr>
          <w:rFonts w:hint="eastAsia" w:ascii="仿宋_GB2312" w:hAnsi="仿宋_GB2312" w:cs="仿宋_GB2312"/>
          <w:color w:val="auto"/>
          <w:sz w:val="24"/>
          <w:highlight w:val="none"/>
        </w:rPr>
        <w:t>③</w:t>
      </w:r>
      <w:r>
        <w:rPr>
          <w:rFonts w:hint="eastAsia" w:ascii="仿宋_GB2312" w:hAnsi="仿宋_GB2312" w:cs="仿宋_GB2312"/>
          <w:color w:val="auto"/>
          <w:sz w:val="24"/>
          <w:highlight w:val="none"/>
        </w:rPr>
        <w:fldChar w:fldCharType="end"/>
      </w:r>
      <w:r>
        <w:rPr>
          <w:rFonts w:hint="eastAsia" w:ascii="仿宋_GB2312" w:hAnsi="仿宋_GB2312" w:cs="仿宋_GB2312"/>
          <w:color w:val="auto"/>
          <w:sz w:val="24"/>
          <w:highlight w:val="none"/>
        </w:rPr>
        <w:t>工作人员在禁烟区擅自动火、吸烟；</w:t>
      </w:r>
    </w:p>
    <w:p w14:paraId="1D1F340D">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fldChar w:fldCharType="begin"/>
      </w:r>
      <w:r>
        <w:rPr>
          <w:rFonts w:hint="eastAsia" w:ascii="仿宋_GB2312" w:hAnsi="仿宋_GB2312" w:cs="仿宋_GB2312"/>
          <w:color w:val="auto"/>
          <w:sz w:val="24"/>
          <w:highlight w:val="none"/>
        </w:rPr>
        <w:instrText xml:space="preserve"> = 4 \* GB3 </w:instrText>
      </w:r>
      <w:r>
        <w:rPr>
          <w:rFonts w:hint="eastAsia" w:ascii="仿宋_GB2312" w:hAnsi="仿宋_GB2312" w:cs="仿宋_GB2312"/>
          <w:color w:val="auto"/>
          <w:sz w:val="24"/>
          <w:highlight w:val="none"/>
        </w:rPr>
        <w:fldChar w:fldCharType="separate"/>
      </w:r>
      <w:r>
        <w:rPr>
          <w:rFonts w:hint="eastAsia" w:ascii="仿宋_GB2312" w:hAnsi="仿宋_GB2312" w:cs="仿宋_GB2312"/>
          <w:color w:val="auto"/>
          <w:sz w:val="24"/>
          <w:highlight w:val="none"/>
        </w:rPr>
        <w:t>④</w:t>
      </w:r>
      <w:r>
        <w:rPr>
          <w:rFonts w:hint="eastAsia" w:ascii="仿宋_GB2312" w:hAnsi="仿宋_GB2312" w:cs="仿宋_GB2312"/>
          <w:color w:val="auto"/>
          <w:sz w:val="24"/>
          <w:highlight w:val="none"/>
        </w:rPr>
        <w:fldChar w:fldCharType="end"/>
      </w:r>
      <w:r>
        <w:rPr>
          <w:rFonts w:hint="eastAsia" w:ascii="仿宋_GB2312" w:hAnsi="仿宋_GB2312" w:cs="仿宋_GB2312"/>
          <w:color w:val="auto"/>
          <w:sz w:val="24"/>
          <w:highlight w:val="none"/>
        </w:rPr>
        <w:t>工作人员未按规定穿戴劳动防护用品，经劝说不听或不服从管理的；</w:t>
      </w:r>
    </w:p>
    <w:p w14:paraId="511C9A62">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fldChar w:fldCharType="begin"/>
      </w:r>
      <w:r>
        <w:rPr>
          <w:rFonts w:hint="eastAsia" w:ascii="仿宋_GB2312" w:hAnsi="仿宋_GB2312" w:cs="仿宋_GB2312"/>
          <w:color w:val="auto"/>
          <w:sz w:val="24"/>
          <w:highlight w:val="none"/>
        </w:rPr>
        <w:instrText xml:space="preserve"> = 5 \* GB3 </w:instrText>
      </w:r>
      <w:r>
        <w:rPr>
          <w:rFonts w:hint="eastAsia" w:ascii="仿宋_GB2312" w:hAnsi="仿宋_GB2312" w:cs="仿宋_GB2312"/>
          <w:color w:val="auto"/>
          <w:sz w:val="24"/>
          <w:highlight w:val="none"/>
        </w:rPr>
        <w:fldChar w:fldCharType="separate"/>
      </w:r>
      <w:r>
        <w:rPr>
          <w:rFonts w:hint="eastAsia" w:ascii="仿宋_GB2312" w:hAnsi="仿宋_GB2312" w:cs="仿宋_GB2312"/>
          <w:color w:val="auto"/>
          <w:sz w:val="24"/>
          <w:highlight w:val="none"/>
        </w:rPr>
        <w:t>⑤</w:t>
      </w:r>
      <w:r>
        <w:rPr>
          <w:rFonts w:hint="eastAsia" w:ascii="仿宋_GB2312" w:hAnsi="仿宋_GB2312" w:cs="仿宋_GB2312"/>
          <w:color w:val="auto"/>
          <w:sz w:val="24"/>
          <w:highlight w:val="none"/>
        </w:rPr>
        <w:fldChar w:fldCharType="end"/>
      </w:r>
      <w:r>
        <w:rPr>
          <w:rFonts w:hint="eastAsia" w:ascii="仿宋_GB2312" w:hAnsi="仿宋_GB2312" w:cs="仿宋_GB2312"/>
          <w:color w:val="auto"/>
          <w:sz w:val="24"/>
          <w:highlight w:val="none"/>
        </w:rPr>
        <w:t>项目服务过程造成环境影响。</w:t>
      </w:r>
    </w:p>
    <w:p w14:paraId="515B7C44">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2.乙方在项目服务过程中有下列行为的，扣罚履约保证金5000元/次：</w:t>
      </w:r>
    </w:p>
    <w:p w14:paraId="3DBB0E4D">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fldChar w:fldCharType="begin"/>
      </w:r>
      <w:r>
        <w:rPr>
          <w:rFonts w:hint="eastAsia" w:ascii="仿宋_GB2312" w:hAnsi="仿宋_GB2312" w:cs="仿宋_GB2312"/>
          <w:color w:val="auto"/>
          <w:sz w:val="24"/>
          <w:highlight w:val="none"/>
        </w:rPr>
        <w:instrText xml:space="preserve"> = 1 \* GB3 </w:instrText>
      </w:r>
      <w:r>
        <w:rPr>
          <w:rFonts w:hint="eastAsia" w:ascii="仿宋_GB2312" w:hAnsi="仿宋_GB2312" w:cs="仿宋_GB2312"/>
          <w:color w:val="auto"/>
          <w:sz w:val="24"/>
          <w:highlight w:val="none"/>
        </w:rPr>
        <w:fldChar w:fldCharType="separate"/>
      </w:r>
      <w:r>
        <w:rPr>
          <w:rFonts w:hint="eastAsia" w:ascii="仿宋_GB2312" w:hAnsi="仿宋_GB2312" w:cs="仿宋_GB2312"/>
          <w:color w:val="auto"/>
          <w:sz w:val="24"/>
          <w:highlight w:val="none"/>
        </w:rPr>
        <w:t>①</w:t>
      </w:r>
      <w:r>
        <w:rPr>
          <w:rFonts w:hint="eastAsia" w:ascii="仿宋_GB2312" w:hAnsi="仿宋_GB2312" w:cs="仿宋_GB2312"/>
          <w:color w:val="auto"/>
          <w:sz w:val="24"/>
          <w:highlight w:val="none"/>
        </w:rPr>
        <w:fldChar w:fldCharType="end"/>
      </w:r>
      <w:r>
        <w:rPr>
          <w:rFonts w:hint="eastAsia" w:ascii="仿宋_GB2312" w:hAnsi="仿宋_GB2312" w:cs="仿宋_GB2312"/>
          <w:color w:val="auto"/>
          <w:sz w:val="24"/>
          <w:highlight w:val="none"/>
        </w:rPr>
        <w:t>由于乙方原因造成甲方被主管单位、新闻媒体、12345公开电话投诉或其他上级有关部门书面警告等通报批评的；</w:t>
      </w:r>
    </w:p>
    <w:p w14:paraId="4C207265">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fldChar w:fldCharType="begin"/>
      </w:r>
      <w:r>
        <w:rPr>
          <w:rFonts w:hint="eastAsia" w:ascii="仿宋_GB2312" w:hAnsi="仿宋_GB2312" w:cs="仿宋_GB2312"/>
          <w:color w:val="auto"/>
          <w:sz w:val="24"/>
          <w:highlight w:val="none"/>
        </w:rPr>
        <w:instrText xml:space="preserve"> = 2 \* GB3 </w:instrText>
      </w:r>
      <w:r>
        <w:rPr>
          <w:rFonts w:hint="eastAsia" w:ascii="仿宋_GB2312" w:hAnsi="仿宋_GB2312" w:cs="仿宋_GB2312"/>
          <w:color w:val="auto"/>
          <w:sz w:val="24"/>
          <w:highlight w:val="none"/>
        </w:rPr>
        <w:fldChar w:fldCharType="separate"/>
      </w:r>
      <w:r>
        <w:rPr>
          <w:rFonts w:hint="eastAsia" w:ascii="仿宋_GB2312" w:hAnsi="仿宋_GB2312" w:cs="仿宋_GB2312"/>
          <w:color w:val="auto"/>
          <w:sz w:val="24"/>
          <w:highlight w:val="none"/>
        </w:rPr>
        <w:t>②</w:t>
      </w:r>
      <w:r>
        <w:rPr>
          <w:rFonts w:hint="eastAsia" w:ascii="仿宋_GB2312" w:hAnsi="仿宋_GB2312" w:cs="仿宋_GB2312"/>
          <w:color w:val="auto"/>
          <w:sz w:val="24"/>
          <w:highlight w:val="none"/>
        </w:rPr>
        <w:fldChar w:fldCharType="end"/>
      </w:r>
      <w:r>
        <w:rPr>
          <w:rFonts w:hint="eastAsia" w:ascii="仿宋_GB2312" w:hAnsi="仿宋_GB2312" w:cs="仿宋_GB2312"/>
          <w:color w:val="auto"/>
          <w:sz w:val="24"/>
          <w:highlight w:val="none"/>
        </w:rPr>
        <w:t>乙方未履行职责，经甲方三次书面警告的，进行停业整顿的，每次停业整顿。</w:t>
      </w:r>
    </w:p>
    <w:p w14:paraId="13D15F0A">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3.乙方项目服务人员无证驾驶车辆（设备）、特殊工种无证上岗、消防器材配置缺损已提醒二十四小时无改进措施等现象，扣罚保证金2000元/人·次。</w:t>
      </w:r>
    </w:p>
    <w:p w14:paraId="6237CE02">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4.乙方在项目服务过程中，对甲方的设施、绿化道路造成影响，乙方应按甲方要求及时进行原貌恢复或清理，如乙方未能及时进行处理的，甲方有权委托相关部门执行，相应费用在乙方履约保证金中扣除。</w:t>
      </w:r>
    </w:p>
    <w:p w14:paraId="11E71898">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9A727FA">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6.发生紧急情况，乙方应及时向上级主管和甲方报告，同时向相关领导或值班人员汇报。如发生人员伤亡应迅速抢救伤员，并在第一时间送往就近医院。</w:t>
      </w:r>
    </w:p>
    <w:p w14:paraId="4CB59AD4">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7.在项目服务期间，乙方发生的安全事故以及造成的人员或财产损失由乙方全额负责。</w:t>
      </w:r>
    </w:p>
    <w:p w14:paraId="6E019E44">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8.其他违反甲方相关安全规章制度的现象，根据违规情况每次酌情扣罚履约保证金200—1000元。</w:t>
      </w:r>
    </w:p>
    <w:p w14:paraId="4F217C15">
      <w:pPr>
        <w:adjustRightInd w:val="0"/>
        <w:snapToGrid w:val="0"/>
        <w:ind w:firstLine="464" w:firstLineChars="200"/>
        <w:rPr>
          <w:rFonts w:hint="eastAsia" w:ascii="仿宋_GB2312" w:hAnsi="仿宋_GB2312" w:cs="仿宋_GB2312"/>
          <w:b/>
          <w:color w:val="auto"/>
          <w:sz w:val="24"/>
          <w:highlight w:val="none"/>
        </w:rPr>
      </w:pPr>
      <w:r>
        <w:rPr>
          <w:rFonts w:hint="eastAsia" w:ascii="仿宋_GB2312" w:hAnsi="仿宋_GB2312" w:cs="仿宋_GB2312"/>
          <w:b/>
          <w:color w:val="auto"/>
          <w:sz w:val="24"/>
          <w:highlight w:val="none"/>
        </w:rPr>
        <w:t>五、其他</w:t>
      </w:r>
    </w:p>
    <w:p w14:paraId="52A20253">
      <w:pPr>
        <w:widowControl/>
        <w:adjustRightInd w:val="0"/>
        <w:snapToGrid w:val="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本协议有效期为双方签署之日起至双方权利义务履行完毕为止。有效期内发生的违约事实，有效期后发现的适用本协议。</w:t>
      </w:r>
    </w:p>
    <w:p w14:paraId="2C401C0B">
      <w:pPr>
        <w:pStyle w:val="53"/>
        <w:spacing w:line="240" w:lineRule="auto"/>
        <w:ind w:left="0" w:leftChars="0" w:firstLine="0" w:firstLineChars="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br w:type="page"/>
      </w:r>
      <w:r>
        <w:rPr>
          <w:rFonts w:hint="eastAsia" w:ascii="仿宋_GB2312" w:hAnsi="仿宋_GB2312" w:eastAsia="仿宋_GB2312" w:cs="仿宋_GB2312"/>
          <w:b/>
          <w:color w:val="auto"/>
          <w:szCs w:val="24"/>
          <w:highlight w:val="none"/>
        </w:rPr>
        <w:t>第四章 廉洁协议</w:t>
      </w:r>
    </w:p>
    <w:p w14:paraId="3280AF6F">
      <w:pPr>
        <w:pStyle w:val="10"/>
        <w:snapToGrid w:val="0"/>
        <w:spacing w:line="240" w:lineRule="auto"/>
        <w:ind w:firstLine="0"/>
        <w:rPr>
          <w:rFonts w:ascii="仿宋_GB2312" w:hAnsi="仿宋_GB2312" w:eastAsia="仿宋_GB2312" w:cs="仿宋_GB2312"/>
          <w:color w:val="auto"/>
          <w:szCs w:val="24"/>
          <w:highlight w:val="none"/>
        </w:rPr>
      </w:pPr>
    </w:p>
    <w:p w14:paraId="0DD6FC36">
      <w:pPr>
        <w:adjustRightInd w:val="0"/>
        <w:snapToGrid w:val="0"/>
        <w:ind w:left="1" w:right="77" w:firstLine="426"/>
        <w:rPr>
          <w:rFonts w:hint="eastAsia" w:ascii="仿宋_GB2312" w:hAnsi="仿宋_GB2312" w:cs="仿宋_GB2312"/>
          <w:color w:val="auto"/>
          <w:sz w:val="24"/>
          <w:highlight w:val="none"/>
          <w:u w:val="single"/>
        </w:rPr>
      </w:pPr>
      <w:r>
        <w:rPr>
          <w:rFonts w:hint="eastAsia" w:ascii="仿宋_GB2312" w:hAnsi="仿宋_GB2312" w:cs="仿宋_GB2312"/>
          <w:color w:val="auto"/>
          <w:sz w:val="24"/>
          <w:highlight w:val="none"/>
        </w:rPr>
        <w:t>甲方：</w:t>
      </w:r>
      <w:r>
        <w:rPr>
          <w:rFonts w:hint="eastAsia" w:ascii="仿宋_GB2312" w:hAnsi="仿宋_GB2312" w:cs="仿宋_GB2312"/>
          <w:color w:val="auto"/>
          <w:sz w:val="24"/>
          <w:highlight w:val="none"/>
          <w:u w:val="single"/>
        </w:rPr>
        <w:t>杭州临江环境能源有限公司</w:t>
      </w:r>
    </w:p>
    <w:p w14:paraId="0B9650A7">
      <w:pPr>
        <w:adjustRightInd w:val="0"/>
        <w:snapToGrid w:val="0"/>
        <w:ind w:left="1" w:right="77" w:firstLine="426"/>
        <w:rPr>
          <w:rFonts w:hint="eastAsia" w:ascii="仿宋_GB2312" w:hAnsi="仿宋_GB2312" w:cs="仿宋_GB2312"/>
          <w:color w:val="auto"/>
          <w:sz w:val="24"/>
          <w:highlight w:val="none"/>
          <w:u w:val="single"/>
        </w:rPr>
      </w:pPr>
      <w:r>
        <w:rPr>
          <w:rFonts w:hint="eastAsia" w:ascii="仿宋_GB2312" w:hAnsi="仿宋_GB2312" w:cs="仿宋_GB2312"/>
          <w:color w:val="auto"/>
          <w:sz w:val="24"/>
          <w:highlight w:val="none"/>
        </w:rPr>
        <w:t>乙方：</w:t>
      </w:r>
      <w:r>
        <w:rPr>
          <w:rFonts w:hint="eastAsia" w:ascii="仿宋_GB2312" w:hAnsi="仿宋_GB2312" w:cs="仿宋_GB2312"/>
          <w:color w:val="auto"/>
          <w:sz w:val="24"/>
          <w:highlight w:val="none"/>
          <w:u w:val="single"/>
        </w:rPr>
        <w:t xml:space="preserve">                        </w:t>
      </w:r>
    </w:p>
    <w:p w14:paraId="20A0D084">
      <w:pPr>
        <w:adjustRightInd w:val="0"/>
        <w:snapToGrid w:val="0"/>
        <w:ind w:left="1" w:right="77" w:firstLine="426"/>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546C141F">
      <w:pPr>
        <w:adjustRightInd w:val="0"/>
        <w:snapToGrid w:val="0"/>
        <w:ind w:firstLine="471" w:firstLineChars="203"/>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一、甲、乙双方约定</w:t>
      </w:r>
    </w:p>
    <w:p w14:paraId="514CBDA1">
      <w:pPr>
        <w:adjustRightInd w:val="0"/>
        <w:snapToGrid w:val="0"/>
        <w:ind w:right="115"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0813B790">
      <w:pPr>
        <w:adjustRightInd w:val="0"/>
        <w:snapToGrid w:val="0"/>
        <w:ind w:firstLine="466" w:firstLineChars="201"/>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2.甲、乙双方应认真执行双方签订的合同文件，  自觉按合同约定履行责任。</w:t>
      </w:r>
    </w:p>
    <w:p w14:paraId="7775BC44">
      <w:pPr>
        <w:adjustRightInd w:val="0"/>
        <w:snapToGrid w:val="0"/>
        <w:ind w:left="4" w:right="77"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7AC47C4E">
      <w:pPr>
        <w:adjustRightInd w:val="0"/>
        <w:snapToGrid w:val="0"/>
        <w:ind w:firstLine="466" w:firstLineChars="201"/>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4.甲、乙双方有对本方人员开展廉政告知、廉政教育和职业道德教育的义务。</w:t>
      </w:r>
    </w:p>
    <w:p w14:paraId="5EE1A310">
      <w:pPr>
        <w:adjustRightInd w:val="0"/>
        <w:snapToGrid w:val="0"/>
        <w:ind w:left="3" w:right="77"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5.甲、乙双方应加强对本方人员廉政监督，建立健全廉政制度，认真严肃查处本方人员违法违纪行为。</w:t>
      </w:r>
    </w:p>
    <w:p w14:paraId="113977DB">
      <w:pPr>
        <w:adjustRightInd w:val="0"/>
        <w:snapToGrid w:val="0"/>
        <w:ind w:right="77" w:firstLine="466" w:firstLineChars="201"/>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64B7B445">
      <w:pPr>
        <w:adjustRightInd w:val="0"/>
        <w:snapToGrid w:val="0"/>
        <w:ind w:firstLine="471" w:firstLineChars="203"/>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二、甲方（含甲方人员）廉政责任</w:t>
      </w:r>
    </w:p>
    <w:p w14:paraId="768B9F3E">
      <w:pPr>
        <w:adjustRightInd w:val="0"/>
        <w:snapToGrid w:val="0"/>
        <w:ind w:firstLine="466" w:firstLineChars="201"/>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1.不得接受乙方或向乙方索取或以借用为名占用乙方的任何财物；不得接受乙方的礼金、</w:t>
      </w:r>
    </w:p>
    <w:p w14:paraId="6569081B">
      <w:pPr>
        <w:adjustRightInd w:val="0"/>
        <w:snapToGrid w:val="0"/>
        <w:ind w:left="4" w:hanging="3"/>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礼品和各种有价证券、支付凭证及其他贵重物品；不得接受乙方的以任何名义支付的回扣、好处费、感谢费或其他经济利益。</w:t>
      </w:r>
    </w:p>
    <w:p w14:paraId="0968D3F2">
      <w:pPr>
        <w:adjustRightInd w:val="0"/>
        <w:snapToGrid w:val="0"/>
        <w:ind w:right="77"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1597A01E">
      <w:pPr>
        <w:adjustRightInd w:val="0"/>
        <w:snapToGrid w:val="0"/>
        <w:ind w:left="1" w:right="77"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3.不得利用职务便利向乙方介绍或指定单位（或个人）、物资供应商；不得利用职务便利向乙方推销或指定使用物资设备等。</w:t>
      </w:r>
    </w:p>
    <w:p w14:paraId="74E65106">
      <w:pPr>
        <w:adjustRightInd w:val="0"/>
        <w:snapToGrid w:val="0"/>
        <w:ind w:firstLine="466" w:firstLineChars="201"/>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4.不得接受乙方购置的或长期提供的通信工具、交通工具等。</w:t>
      </w:r>
    </w:p>
    <w:p w14:paraId="42BF40E0">
      <w:pPr>
        <w:adjustRightInd w:val="0"/>
        <w:snapToGrid w:val="0"/>
        <w:ind w:left="1" w:right="77"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5.对无法拒绝的乙方及其个人所送的钱物，受礼者自收受之日起一个月内上交至甲方监察审计部门。</w:t>
      </w:r>
    </w:p>
    <w:p w14:paraId="3E28A838">
      <w:pPr>
        <w:adjustRightInd w:val="0"/>
        <w:snapToGrid w:val="0"/>
        <w:ind w:left="361" w:leftChars="116" w:right="3503" w:firstLine="460" w:firstLineChars="198"/>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6.对乙方提供的有关信息，应及时调查处理并反馈结果。</w:t>
      </w:r>
    </w:p>
    <w:p w14:paraId="38CA33D3">
      <w:pPr>
        <w:adjustRightInd w:val="0"/>
        <w:snapToGrid w:val="0"/>
        <w:ind w:left="361" w:leftChars="116" w:right="3503" w:firstLine="460" w:firstLineChars="198"/>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三、乙方（含乙方人员）廉政责任</w:t>
      </w:r>
    </w:p>
    <w:p w14:paraId="40330A6E">
      <w:pPr>
        <w:adjustRightInd w:val="0"/>
        <w:snapToGrid w:val="0"/>
        <w:ind w:right="77"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01240391">
      <w:pPr>
        <w:adjustRightInd w:val="0"/>
        <w:snapToGrid w:val="0"/>
        <w:ind w:left="3" w:right="24"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5DA990D7">
      <w:pPr>
        <w:adjustRightInd w:val="0"/>
        <w:snapToGrid w:val="0"/>
        <w:ind w:right="24"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3.不得接受甲方介绍或指定单位和物资供应商；不得接受甲方推销或指定使用的物资设备。</w:t>
      </w:r>
    </w:p>
    <w:p w14:paraId="4D2666AA">
      <w:pPr>
        <w:adjustRightInd w:val="0"/>
        <w:snapToGrid w:val="0"/>
        <w:ind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4.不得以任何理由为甲方及其工作人员购置或长期提供通信工具、交通工具等。</w:t>
      </w:r>
    </w:p>
    <w:p w14:paraId="553D75E7">
      <w:pPr>
        <w:adjustRightInd w:val="0"/>
        <w:snapToGrid w:val="0"/>
        <w:ind w:left="3" w:right="24"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5.对甲方及其个人索要钱物、介绍或指定单位和物资供应商、推销或指定使用物资设备、借用占用车辆等行为予以拒绝，并及时主动向乙方上级纪检监察组织报告。</w:t>
      </w:r>
    </w:p>
    <w:p w14:paraId="31E0F935">
      <w:pPr>
        <w:adjustRightInd w:val="0"/>
        <w:snapToGrid w:val="0"/>
        <w:ind w:firstLine="466" w:firstLineChars="201"/>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6.对甲方提供的乙方（含乙方人员）违纪违规有关信息，应及时调查处理并反馈结果。</w:t>
      </w:r>
    </w:p>
    <w:p w14:paraId="1EC53B60">
      <w:pPr>
        <w:adjustRightInd w:val="0"/>
        <w:snapToGrid w:val="0"/>
        <w:ind w:left="3" w:right="24"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7.乙方不得以任何理由为甲方及其工作人员组织有可能影响公正执行公务的宴请和各类休闲娱乐等活动。</w:t>
      </w:r>
    </w:p>
    <w:p w14:paraId="0F83928B">
      <w:pPr>
        <w:adjustRightInd w:val="0"/>
        <w:snapToGrid w:val="0"/>
        <w:ind w:left="361" w:leftChars="116" w:right="90" w:firstLine="460" w:firstLineChars="198"/>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8.乙方及其工作人员必须严格按照有关规程办事，不得与其他单位互相串通，损害甲方利益。</w:t>
      </w:r>
    </w:p>
    <w:p w14:paraId="4599889B">
      <w:pPr>
        <w:adjustRightInd w:val="0"/>
        <w:snapToGrid w:val="0"/>
        <w:ind w:right="90" w:firstLine="464" w:firstLineChars="200"/>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四、违约责任</w:t>
      </w:r>
    </w:p>
    <w:p w14:paraId="2E1A7F4C">
      <w:pPr>
        <w:adjustRightInd w:val="0"/>
        <w:snapToGrid w:val="0"/>
        <w:ind w:left="3" w:right="24" w:firstLine="490" w:firstLineChars="211"/>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49924A0B">
      <w:pPr>
        <w:adjustRightInd w:val="0"/>
        <w:snapToGrid w:val="0"/>
        <w:ind w:left="4" w:right="24"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C2F741F">
      <w:pPr>
        <w:adjustRightInd w:val="0"/>
        <w:snapToGrid w:val="0"/>
        <w:ind w:left="3" w:right="24"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2.乙方贿赂甲方人员的，被纪检监察部门或检察机关立案查处的，甲方有权终止项目合同，由此造成甲方的损失以及一切费用均由乙方承担。</w:t>
      </w:r>
    </w:p>
    <w:p w14:paraId="138680DD">
      <w:pPr>
        <w:adjustRightInd w:val="0"/>
        <w:snapToGrid w:val="0"/>
        <w:ind w:left="3" w:right="24"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3.甲方双方不履行协议约定义务的，应将责任人调离本项目并按规定予以处理，且双方有义务将有关责任人的责任追究情况通报对方。</w:t>
      </w:r>
    </w:p>
    <w:p w14:paraId="2A0A4939">
      <w:pPr>
        <w:adjustRightInd w:val="0"/>
        <w:snapToGrid w:val="0"/>
        <w:ind w:left="5" w:right="24"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7A7C641">
      <w:pPr>
        <w:adjustRightInd w:val="0"/>
        <w:snapToGrid w:val="0"/>
        <w:ind w:firstLine="466" w:firstLineChars="201"/>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5.由于甲乙双方单位或工作人员个人行为造成违约的，双方承担上述违约责任。</w:t>
      </w:r>
    </w:p>
    <w:p w14:paraId="2A6D8E72">
      <w:pPr>
        <w:adjustRightInd w:val="0"/>
        <w:snapToGrid w:val="0"/>
        <w:ind w:left="3" w:right="24" w:firstLine="464" w:firstLineChars="200"/>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6.甲乙双方在履行协议中发生争议，一方有权向对方上级单位主管部门和纪检监察部门反映情况并要求帮助解决争议。</w:t>
      </w:r>
    </w:p>
    <w:p w14:paraId="47FE754B">
      <w:pPr>
        <w:adjustRightInd w:val="0"/>
        <w:snapToGrid w:val="0"/>
        <w:ind w:firstLine="473" w:firstLineChars="204"/>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五、有效期</w:t>
      </w:r>
    </w:p>
    <w:p w14:paraId="07E69BD6">
      <w:pPr>
        <w:adjustRightInd w:val="0"/>
        <w:snapToGrid w:val="0"/>
        <w:ind w:firstLine="473" w:firstLineChars="204"/>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本协议有效期为双方签署之日起至双方权利义务履行完毕为止。有效期内发生的违约事实，有效期后发现的适用本协议。</w:t>
      </w:r>
    </w:p>
    <w:p w14:paraId="34F50F33">
      <w:pPr>
        <w:ind w:firstLine="32"/>
        <w:rPr>
          <w:rFonts w:hint="eastAsia" w:ascii="宋体" w:hAnsi="宋体" w:cs="宋体"/>
          <w:color w:val="auto"/>
          <w:sz w:val="24"/>
          <w:highlight w:val="none"/>
        </w:rPr>
      </w:pPr>
    </w:p>
    <w:sectPr>
      <w:headerReference r:id="rId14" w:type="default"/>
      <w:footerReference r:id="rId16" w:type="default"/>
      <w:headerReference r:id="rId15" w:type="even"/>
      <w:footerReference r:id="rId17" w:type="even"/>
      <w:pgSz w:w="11906" w:h="16838"/>
      <w:pgMar w:top="2098" w:right="1474" w:bottom="1985" w:left="1588" w:header="851" w:footer="737" w:gutter="0"/>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EDCE2">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53FB9">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6153FB9">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712D">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73F63">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1273F63">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1269">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84878">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684878">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872D8">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6135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06135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D1CD3">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BB3B1">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D8BB3B1">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7972B">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DC1D2">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0ADC1D2">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7277">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0C168">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F85FB">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67389">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F7CB">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87426">
    <w:pPr>
      <w:spacing w:line="500" w:lineRule="atLeast"/>
      <w:rPr>
        <w:sz w:val="18"/>
        <w:szCs w:val="18"/>
      </w:rPr>
    </w:pPr>
    <w:r>
      <w:rPr>
        <w:sz w:val="18"/>
        <w:szCs w:val="18"/>
      </w:rPr>
      <w:drawing>
        <wp:inline distT="0" distB="0" distL="114300" distR="114300">
          <wp:extent cx="1185545" cy="277495"/>
          <wp:effectExtent l="0" t="0" r="3175" b="12065"/>
          <wp:docPr id="5" name="图片 5"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司徽"/>
                  <pic:cNvPicPr>
                    <a:picLocks noChangeAspect="1"/>
                  </pic:cNvPicPr>
                </pic:nvPicPr>
                <pic:blipFill>
                  <a:blip r:embed="rId1"/>
                  <a:stretch>
                    <a:fillRect/>
                  </a:stretch>
                </pic:blipFill>
                <pic:spPr>
                  <a:xfrm>
                    <a:off x="0" y="0"/>
                    <a:ext cx="1185545" cy="277495"/>
                  </a:xfrm>
                  <a:prstGeom prst="rect">
                    <a:avLst/>
                  </a:prstGeom>
                  <a:noFill/>
                  <a:ln>
                    <a:noFill/>
                  </a:ln>
                </pic:spPr>
              </pic:pic>
            </a:graphicData>
          </a:graphic>
        </wp:inline>
      </w:drawing>
    </w:r>
    <w:r>
      <w:rPr>
        <w:rFonts w:hint="eastAsia" w:ascii="宋体" w:hAnsi="宋体" w:cs="宋体"/>
        <w:bCs/>
        <w:sz w:val="15"/>
        <w:szCs w:val="15"/>
      </w:rPr>
      <w:t>桂林市山口生活垃圾焚烧发电工程汽轮发电机组设备采购招标文件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AA23C">
    <w:pPr>
      <w:pStyle w:val="1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6B60">
    <w:pPr>
      <w:pStyle w:val="16"/>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CC25">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mODA0YjAyYmU2M2RjMGQzZjNkNThjZWNiZDJkYzEifQ=="/>
    <w:docVar w:name="KSO_WPS_MARK_KEY" w:val="c4f691fa-96ed-4ec6-9ff4-5fac2e21d5a8"/>
  </w:docVars>
  <w:rsids>
    <w:rsidRoot w:val="00BF63BC"/>
    <w:rsid w:val="00026716"/>
    <w:rsid w:val="000328A4"/>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665E4"/>
    <w:rsid w:val="00473AA8"/>
    <w:rsid w:val="00486EBC"/>
    <w:rsid w:val="004875AF"/>
    <w:rsid w:val="0049353B"/>
    <w:rsid w:val="004F58E9"/>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45D43"/>
    <w:rsid w:val="00C92139"/>
    <w:rsid w:val="00CB50A8"/>
    <w:rsid w:val="00D005A8"/>
    <w:rsid w:val="00D26D7C"/>
    <w:rsid w:val="00DC239E"/>
    <w:rsid w:val="00DC4986"/>
    <w:rsid w:val="00DD0B8F"/>
    <w:rsid w:val="00DD4FDE"/>
    <w:rsid w:val="00DF477A"/>
    <w:rsid w:val="00E45C9B"/>
    <w:rsid w:val="00E7089A"/>
    <w:rsid w:val="00EC5C1A"/>
    <w:rsid w:val="00F169CB"/>
    <w:rsid w:val="00F43C49"/>
    <w:rsid w:val="00F844E0"/>
    <w:rsid w:val="00F92C9A"/>
    <w:rsid w:val="00F97F58"/>
    <w:rsid w:val="01225BDC"/>
    <w:rsid w:val="015B3B47"/>
    <w:rsid w:val="01DA0E74"/>
    <w:rsid w:val="028D51BD"/>
    <w:rsid w:val="02B9692C"/>
    <w:rsid w:val="02FE20CD"/>
    <w:rsid w:val="03973673"/>
    <w:rsid w:val="044517DA"/>
    <w:rsid w:val="04B47551"/>
    <w:rsid w:val="053C52E0"/>
    <w:rsid w:val="05B40984"/>
    <w:rsid w:val="06016C45"/>
    <w:rsid w:val="06B30844"/>
    <w:rsid w:val="07E01A97"/>
    <w:rsid w:val="080D1250"/>
    <w:rsid w:val="082E437D"/>
    <w:rsid w:val="09AB5BF9"/>
    <w:rsid w:val="0A155EC6"/>
    <w:rsid w:val="0A923343"/>
    <w:rsid w:val="0AB109F4"/>
    <w:rsid w:val="0AF321C4"/>
    <w:rsid w:val="0B0929CA"/>
    <w:rsid w:val="0B4235F7"/>
    <w:rsid w:val="0BD16C8D"/>
    <w:rsid w:val="0BEA5631"/>
    <w:rsid w:val="0C3A7240"/>
    <w:rsid w:val="0C674136"/>
    <w:rsid w:val="0D8238FA"/>
    <w:rsid w:val="0DB55A7E"/>
    <w:rsid w:val="0E2370F0"/>
    <w:rsid w:val="0F0C6C34"/>
    <w:rsid w:val="0F114F36"/>
    <w:rsid w:val="0FC74435"/>
    <w:rsid w:val="0FCB3337"/>
    <w:rsid w:val="0FF50173"/>
    <w:rsid w:val="10593613"/>
    <w:rsid w:val="10654928"/>
    <w:rsid w:val="10923E54"/>
    <w:rsid w:val="115952CC"/>
    <w:rsid w:val="11EA48C7"/>
    <w:rsid w:val="12311F7A"/>
    <w:rsid w:val="1254269D"/>
    <w:rsid w:val="141112E6"/>
    <w:rsid w:val="14164D9C"/>
    <w:rsid w:val="149A777C"/>
    <w:rsid w:val="14F325EF"/>
    <w:rsid w:val="15256D85"/>
    <w:rsid w:val="164E74E9"/>
    <w:rsid w:val="1686347A"/>
    <w:rsid w:val="185F61B6"/>
    <w:rsid w:val="188312AA"/>
    <w:rsid w:val="1AE422B5"/>
    <w:rsid w:val="1AE654C9"/>
    <w:rsid w:val="1B01737B"/>
    <w:rsid w:val="1B0F47E4"/>
    <w:rsid w:val="1B16138F"/>
    <w:rsid w:val="1B9A1D66"/>
    <w:rsid w:val="1BB20966"/>
    <w:rsid w:val="1BE607AB"/>
    <w:rsid w:val="1D3C7FD4"/>
    <w:rsid w:val="1D6B06CF"/>
    <w:rsid w:val="1DDC0E05"/>
    <w:rsid w:val="1DE52764"/>
    <w:rsid w:val="1E0B5246"/>
    <w:rsid w:val="1EB05F1E"/>
    <w:rsid w:val="1FF3774C"/>
    <w:rsid w:val="208F7597"/>
    <w:rsid w:val="21CA30C9"/>
    <w:rsid w:val="223C00C4"/>
    <w:rsid w:val="2307710F"/>
    <w:rsid w:val="23144B9D"/>
    <w:rsid w:val="237044C9"/>
    <w:rsid w:val="23874EBB"/>
    <w:rsid w:val="256F3D74"/>
    <w:rsid w:val="25705397"/>
    <w:rsid w:val="25F3318F"/>
    <w:rsid w:val="26062EC3"/>
    <w:rsid w:val="2608516B"/>
    <w:rsid w:val="269862C5"/>
    <w:rsid w:val="27EE1D9D"/>
    <w:rsid w:val="290C6FEB"/>
    <w:rsid w:val="29411B2D"/>
    <w:rsid w:val="2A250BDB"/>
    <w:rsid w:val="2A3B6409"/>
    <w:rsid w:val="2AAE202E"/>
    <w:rsid w:val="2ABA4874"/>
    <w:rsid w:val="2B565A51"/>
    <w:rsid w:val="2BA148CD"/>
    <w:rsid w:val="2C1A5638"/>
    <w:rsid w:val="2C412F87"/>
    <w:rsid w:val="2D6F0569"/>
    <w:rsid w:val="2DA819B9"/>
    <w:rsid w:val="2DEA30CA"/>
    <w:rsid w:val="2DFA19C5"/>
    <w:rsid w:val="2F1C6A76"/>
    <w:rsid w:val="2F35748D"/>
    <w:rsid w:val="2F92598A"/>
    <w:rsid w:val="2FAD54A6"/>
    <w:rsid w:val="305331A8"/>
    <w:rsid w:val="31A33AA5"/>
    <w:rsid w:val="31A83547"/>
    <w:rsid w:val="33744D0D"/>
    <w:rsid w:val="34086058"/>
    <w:rsid w:val="35531555"/>
    <w:rsid w:val="35653766"/>
    <w:rsid w:val="35BC6F8D"/>
    <w:rsid w:val="3684230E"/>
    <w:rsid w:val="376E7C50"/>
    <w:rsid w:val="37DB004E"/>
    <w:rsid w:val="38042A8C"/>
    <w:rsid w:val="380B25BB"/>
    <w:rsid w:val="382947EF"/>
    <w:rsid w:val="385B0E4C"/>
    <w:rsid w:val="387A58E0"/>
    <w:rsid w:val="38AE4134"/>
    <w:rsid w:val="39497482"/>
    <w:rsid w:val="3A5F4A1C"/>
    <w:rsid w:val="3C3F599F"/>
    <w:rsid w:val="3CB43221"/>
    <w:rsid w:val="3CCE6E7F"/>
    <w:rsid w:val="3DC54FBA"/>
    <w:rsid w:val="3E0F0EC8"/>
    <w:rsid w:val="3E832243"/>
    <w:rsid w:val="3F8170CB"/>
    <w:rsid w:val="3FDC5FB9"/>
    <w:rsid w:val="40BC08F6"/>
    <w:rsid w:val="411A7ABA"/>
    <w:rsid w:val="41270465"/>
    <w:rsid w:val="42456412"/>
    <w:rsid w:val="43364990"/>
    <w:rsid w:val="43D33B34"/>
    <w:rsid w:val="441A605F"/>
    <w:rsid w:val="44213356"/>
    <w:rsid w:val="444C719B"/>
    <w:rsid w:val="446071E8"/>
    <w:rsid w:val="451B29AC"/>
    <w:rsid w:val="453C3DB3"/>
    <w:rsid w:val="46284338"/>
    <w:rsid w:val="471748B1"/>
    <w:rsid w:val="47CD5D76"/>
    <w:rsid w:val="482B7032"/>
    <w:rsid w:val="48C742DC"/>
    <w:rsid w:val="496516D1"/>
    <w:rsid w:val="49A90180"/>
    <w:rsid w:val="49B04973"/>
    <w:rsid w:val="4AD3226C"/>
    <w:rsid w:val="4AE7693A"/>
    <w:rsid w:val="4B3D4433"/>
    <w:rsid w:val="4C6C1422"/>
    <w:rsid w:val="4CDA2AD8"/>
    <w:rsid w:val="4CF57C60"/>
    <w:rsid w:val="4D7F5185"/>
    <w:rsid w:val="4D9C6635"/>
    <w:rsid w:val="4DB265E2"/>
    <w:rsid w:val="4DFD592F"/>
    <w:rsid w:val="4E083F26"/>
    <w:rsid w:val="4EF56C95"/>
    <w:rsid w:val="4F534049"/>
    <w:rsid w:val="4F5A68A9"/>
    <w:rsid w:val="4F9C1ACF"/>
    <w:rsid w:val="50E772C9"/>
    <w:rsid w:val="51287B62"/>
    <w:rsid w:val="51881020"/>
    <w:rsid w:val="51ED7D39"/>
    <w:rsid w:val="527A2F8D"/>
    <w:rsid w:val="52834F24"/>
    <w:rsid w:val="535202BB"/>
    <w:rsid w:val="547A2A58"/>
    <w:rsid w:val="54D240E6"/>
    <w:rsid w:val="55D05399"/>
    <w:rsid w:val="562528DD"/>
    <w:rsid w:val="56510FA5"/>
    <w:rsid w:val="577F4923"/>
    <w:rsid w:val="57B974E6"/>
    <w:rsid w:val="57C12EBF"/>
    <w:rsid w:val="58E04A8C"/>
    <w:rsid w:val="599476BF"/>
    <w:rsid w:val="599E2959"/>
    <w:rsid w:val="5A146CB3"/>
    <w:rsid w:val="5A1C100A"/>
    <w:rsid w:val="5A7C0200"/>
    <w:rsid w:val="5ACE08E9"/>
    <w:rsid w:val="5B00095A"/>
    <w:rsid w:val="5B7E4CCE"/>
    <w:rsid w:val="5C292E8C"/>
    <w:rsid w:val="5DE410D8"/>
    <w:rsid w:val="5E5D2B3B"/>
    <w:rsid w:val="5F4D54F9"/>
    <w:rsid w:val="5F566A9C"/>
    <w:rsid w:val="60536729"/>
    <w:rsid w:val="60757548"/>
    <w:rsid w:val="60822C39"/>
    <w:rsid w:val="611A175D"/>
    <w:rsid w:val="62101793"/>
    <w:rsid w:val="62507EEA"/>
    <w:rsid w:val="627774E0"/>
    <w:rsid w:val="62C0797A"/>
    <w:rsid w:val="631F0B45"/>
    <w:rsid w:val="63574035"/>
    <w:rsid w:val="6438044D"/>
    <w:rsid w:val="64623C90"/>
    <w:rsid w:val="646D58E0"/>
    <w:rsid w:val="64F35D38"/>
    <w:rsid w:val="65151342"/>
    <w:rsid w:val="652F12CE"/>
    <w:rsid w:val="65403573"/>
    <w:rsid w:val="65D24630"/>
    <w:rsid w:val="663B161E"/>
    <w:rsid w:val="66A663AD"/>
    <w:rsid w:val="678C307C"/>
    <w:rsid w:val="67902EBF"/>
    <w:rsid w:val="6815114A"/>
    <w:rsid w:val="688A5477"/>
    <w:rsid w:val="688E1E10"/>
    <w:rsid w:val="68D455D5"/>
    <w:rsid w:val="690C266D"/>
    <w:rsid w:val="69191363"/>
    <w:rsid w:val="69686992"/>
    <w:rsid w:val="69CA7218"/>
    <w:rsid w:val="6A2D7545"/>
    <w:rsid w:val="6B5653B4"/>
    <w:rsid w:val="6B604894"/>
    <w:rsid w:val="6C980234"/>
    <w:rsid w:val="6D282CEC"/>
    <w:rsid w:val="6DB066B4"/>
    <w:rsid w:val="6F573414"/>
    <w:rsid w:val="6F577108"/>
    <w:rsid w:val="6F871F4B"/>
    <w:rsid w:val="6FC10684"/>
    <w:rsid w:val="6FDE66AD"/>
    <w:rsid w:val="703D260A"/>
    <w:rsid w:val="707068C7"/>
    <w:rsid w:val="70857CE5"/>
    <w:rsid w:val="720930EC"/>
    <w:rsid w:val="724A4606"/>
    <w:rsid w:val="72A3100B"/>
    <w:rsid w:val="73C539C3"/>
    <w:rsid w:val="73ED7472"/>
    <w:rsid w:val="742442AB"/>
    <w:rsid w:val="74403DA8"/>
    <w:rsid w:val="74624BA5"/>
    <w:rsid w:val="7463285B"/>
    <w:rsid w:val="74E86DA9"/>
    <w:rsid w:val="750137A6"/>
    <w:rsid w:val="751B4EE4"/>
    <w:rsid w:val="75A4067B"/>
    <w:rsid w:val="762B73A9"/>
    <w:rsid w:val="77E837A3"/>
    <w:rsid w:val="784C630E"/>
    <w:rsid w:val="78CC6E57"/>
    <w:rsid w:val="790554AF"/>
    <w:rsid w:val="79164340"/>
    <w:rsid w:val="794A5D98"/>
    <w:rsid w:val="7956473D"/>
    <w:rsid w:val="79E75577"/>
    <w:rsid w:val="7AC10876"/>
    <w:rsid w:val="7AF03942"/>
    <w:rsid w:val="7B1979B9"/>
    <w:rsid w:val="7C093CE8"/>
    <w:rsid w:val="7C3474E9"/>
    <w:rsid w:val="7C887303"/>
    <w:rsid w:val="7D3975F7"/>
    <w:rsid w:val="7D514B76"/>
    <w:rsid w:val="7DCD138E"/>
    <w:rsid w:val="7E3F055C"/>
    <w:rsid w:val="7EFF6FB1"/>
    <w:rsid w:val="7F9B3B0D"/>
    <w:rsid w:val="7FB15F3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43"/>
    <w:qFormat/>
    <w:uiPriority w:val="0"/>
    <w:pPr>
      <w:keepNext/>
      <w:keepLines/>
      <w:spacing w:before="340" w:after="110" w:line="480" w:lineRule="auto"/>
      <w:jc w:val="center"/>
      <w:outlineLvl w:val="0"/>
    </w:pPr>
    <w:rPr>
      <w:rFonts w:eastAsia="宋体"/>
      <w:b/>
      <w:kern w:val="44"/>
      <w:sz w:val="44"/>
      <w:szCs w:val="20"/>
    </w:rPr>
  </w:style>
  <w:style w:type="paragraph" w:styleId="4">
    <w:name w:val="heading 2"/>
    <w:basedOn w:val="1"/>
    <w:next w:val="1"/>
    <w:link w:val="42"/>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5">
    <w:name w:val="heading 3"/>
    <w:basedOn w:val="1"/>
    <w:next w:val="1"/>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paragraph" w:styleId="6">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Cs w:val="32"/>
    </w:rPr>
  </w:style>
  <w:style w:type="paragraph" w:styleId="7">
    <w:name w:val="Normal Indent"/>
    <w:basedOn w:val="1"/>
    <w:next w:val="1"/>
    <w:semiHidden/>
    <w:unhideWhenUsed/>
    <w:qFormat/>
    <w:uiPriority w:val="0"/>
    <w:pPr>
      <w:ind w:firstLine="420" w:firstLineChars="200"/>
    </w:pPr>
    <w:rPr>
      <w:rFonts w:eastAsia="宋体"/>
      <w:sz w:val="21"/>
    </w:rPr>
  </w:style>
  <w:style w:type="paragraph" w:styleId="8">
    <w:name w:val="annotation text"/>
    <w:basedOn w:val="1"/>
    <w:link w:val="33"/>
    <w:qFormat/>
    <w:uiPriority w:val="0"/>
    <w:pPr>
      <w:jc w:val="left"/>
    </w:pPr>
  </w:style>
  <w:style w:type="paragraph" w:styleId="9">
    <w:name w:val="Body Text"/>
    <w:basedOn w:val="1"/>
    <w:qFormat/>
    <w:uiPriority w:val="1"/>
    <w:pPr>
      <w:spacing w:after="120"/>
    </w:pPr>
    <w:rPr>
      <w:rFonts w:eastAsia="宋体"/>
      <w:sz w:val="21"/>
      <w:szCs w:val="21"/>
    </w:rPr>
  </w:style>
  <w:style w:type="paragraph" w:styleId="10">
    <w:name w:val="Body Text Indent"/>
    <w:basedOn w:val="1"/>
    <w:qFormat/>
    <w:uiPriority w:val="0"/>
    <w:pPr>
      <w:adjustRightInd w:val="0"/>
      <w:spacing w:line="360" w:lineRule="auto"/>
      <w:ind w:firstLine="490"/>
      <w:jc w:val="left"/>
    </w:pPr>
    <w:rPr>
      <w:rFonts w:hint="eastAsia" w:ascii="宋体" w:hAnsi="宋体" w:eastAsia="宋体"/>
      <w:sz w:val="24"/>
      <w:szCs w:val="20"/>
    </w:rPr>
  </w:style>
  <w:style w:type="paragraph" w:styleId="11">
    <w:name w:val="toc 5"/>
    <w:basedOn w:val="1"/>
    <w:next w:val="1"/>
    <w:qFormat/>
    <w:uiPriority w:val="0"/>
    <w:pPr>
      <w:ind w:left="1680" w:leftChars="800"/>
    </w:pPr>
    <w:rPr>
      <w:rFonts w:eastAsia="宋体"/>
      <w:sz w:val="21"/>
    </w:rPr>
  </w:style>
  <w:style w:type="paragraph" w:styleId="12">
    <w:name w:val="Plain Text"/>
    <w:basedOn w:val="1"/>
    <w:semiHidden/>
    <w:unhideWhenUsed/>
    <w:qFormat/>
    <w:uiPriority w:val="99"/>
    <w:rPr>
      <w:rFonts w:ascii="宋体" w:hAnsi="Courier New" w:eastAsia="宋体"/>
      <w:kern w:val="0"/>
      <w:sz w:val="20"/>
      <w:szCs w:val="20"/>
    </w:rPr>
  </w:style>
  <w:style w:type="paragraph" w:styleId="13">
    <w:name w:val="Date"/>
    <w:basedOn w:val="1"/>
    <w:next w:val="1"/>
    <w:semiHidden/>
    <w:unhideWhenUsed/>
    <w:qFormat/>
    <w:uiPriority w:val="0"/>
    <w:pPr>
      <w:ind w:left="100" w:leftChars="2500"/>
    </w:pPr>
    <w:rPr>
      <w:rFonts w:eastAsia="宋体"/>
      <w:sz w:val="24"/>
    </w:rPr>
  </w:style>
  <w:style w:type="paragraph" w:styleId="14">
    <w:name w:val="Balloon Text"/>
    <w:basedOn w:val="1"/>
    <w:link w:val="34"/>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18"/>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0"/>
    <w:pPr>
      <w:snapToGrid w:val="0"/>
      <w:spacing w:line="360" w:lineRule="exact"/>
    </w:pPr>
    <w:rPr>
      <w:rFonts w:ascii="Arial" w:hAnsi="Arial" w:eastAsia="宋体" w:cs="Arial"/>
      <w:kern w:val="0"/>
      <w:sz w:val="21"/>
    </w:rPr>
  </w:style>
  <w:style w:type="paragraph" w:styleId="18">
    <w:name w:val="toc 6"/>
    <w:basedOn w:val="1"/>
    <w:next w:val="1"/>
    <w:qFormat/>
    <w:uiPriority w:val="0"/>
    <w:pPr>
      <w:ind w:left="1050"/>
      <w:jc w:val="left"/>
    </w:pPr>
    <w:rPr>
      <w:rFonts w:eastAsia="宋体"/>
      <w:sz w:val="18"/>
      <w:szCs w:val="18"/>
    </w:rPr>
  </w:style>
  <w:style w:type="paragraph" w:styleId="19">
    <w:name w:val="toc 2"/>
    <w:basedOn w:val="1"/>
    <w:next w:val="1"/>
    <w:semiHidden/>
    <w:unhideWhenUsed/>
    <w:qFormat/>
    <w:uiPriority w:val="0"/>
    <w:pPr>
      <w:ind w:left="420" w:leftChars="200"/>
    </w:pPr>
    <w:rPr>
      <w:rFonts w:eastAsia="宋体"/>
      <w:sz w:val="21"/>
    </w:rPr>
  </w:style>
  <w:style w:type="paragraph" w:styleId="20">
    <w:name w:val="Body Text 2"/>
    <w:basedOn w:val="1"/>
    <w:unhideWhenUsed/>
    <w:qFormat/>
    <w:uiPriority w:val="99"/>
    <w:pPr>
      <w:spacing w:after="120" w:line="480" w:lineRule="auto"/>
    </w:p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2">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23">
    <w:name w:val="annotation subject"/>
    <w:basedOn w:val="8"/>
    <w:next w:val="8"/>
    <w:link w:val="37"/>
    <w:qFormat/>
    <w:uiPriority w:val="0"/>
    <w:rPr>
      <w:b/>
      <w:bCs/>
    </w:rPr>
  </w:style>
  <w:style w:type="paragraph" w:styleId="24">
    <w:name w:val="Body Text First Indent"/>
    <w:basedOn w:val="9"/>
    <w:next w:val="18"/>
    <w:qFormat/>
    <w:uiPriority w:val="99"/>
    <w:pPr>
      <w:widowControl/>
      <w:ind w:firstLine="420" w:firstLineChars="100"/>
      <w:jc w:val="left"/>
    </w:pPr>
    <w:rPr>
      <w:kern w:val="0"/>
    </w:rPr>
  </w:style>
  <w:style w:type="paragraph" w:styleId="25">
    <w:name w:val="Body Text First Indent 2"/>
    <w:basedOn w:val="10"/>
    <w:next w:val="1"/>
    <w:qFormat/>
    <w:uiPriority w:val="0"/>
    <w:pPr>
      <w:spacing w:after="120"/>
      <w:ind w:left="420" w:leftChars="200" w:firstLine="420"/>
    </w:pPr>
  </w:style>
  <w:style w:type="table" w:styleId="27">
    <w:name w:val="Table Grid"/>
    <w:basedOn w:val="2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rPr>
      <w:rFonts w:ascii="Times New Roman" w:hAnsi="Times New Roman" w:eastAsia="宋体" w:cs="Times New Roman"/>
    </w:rPr>
  </w:style>
  <w:style w:type="character" w:styleId="30">
    <w:name w:val="Hyperlink"/>
    <w:semiHidden/>
    <w:unhideWhenUsed/>
    <w:qFormat/>
    <w:uiPriority w:val="0"/>
    <w:rPr>
      <w:rFonts w:ascii="Times New Roman" w:hAnsi="Times New Roman" w:eastAsia="宋体" w:cs="Times New Roman"/>
      <w:color w:val="000080"/>
      <w:u w:val="none"/>
    </w:rPr>
  </w:style>
  <w:style w:type="character" w:styleId="31">
    <w:name w:val="annotation reference"/>
    <w:basedOn w:val="28"/>
    <w:qFormat/>
    <w:uiPriority w:val="0"/>
    <w:rPr>
      <w:sz w:val="21"/>
      <w:szCs w:val="21"/>
    </w:rPr>
  </w:style>
  <w:style w:type="paragraph" w:customStyle="1" w:styleId="32">
    <w:name w:val="样式 标题 1 + 四号 加粗"/>
    <w:basedOn w:val="3"/>
    <w:qFormat/>
    <w:uiPriority w:val="0"/>
  </w:style>
  <w:style w:type="character" w:customStyle="1" w:styleId="33">
    <w:name w:val="批注文字 字符"/>
    <w:basedOn w:val="28"/>
    <w:link w:val="8"/>
    <w:qFormat/>
    <w:uiPriority w:val="0"/>
    <w:rPr>
      <w:rFonts w:eastAsia="仿宋_GB2312"/>
      <w:kern w:val="2"/>
      <w:sz w:val="32"/>
      <w:szCs w:val="24"/>
    </w:rPr>
  </w:style>
  <w:style w:type="character" w:customStyle="1" w:styleId="34">
    <w:name w:val="批注框文本 字符"/>
    <w:basedOn w:val="28"/>
    <w:link w:val="14"/>
    <w:qFormat/>
    <w:uiPriority w:val="0"/>
    <w:rPr>
      <w:rFonts w:eastAsia="仿宋_GB2312"/>
      <w:kern w:val="2"/>
      <w:sz w:val="18"/>
      <w:szCs w:val="18"/>
    </w:rPr>
  </w:style>
  <w:style w:type="character" w:customStyle="1" w:styleId="35">
    <w:name w:val="页脚 字符"/>
    <w:basedOn w:val="28"/>
    <w:link w:val="15"/>
    <w:qFormat/>
    <w:uiPriority w:val="99"/>
    <w:rPr>
      <w:rFonts w:eastAsia="仿宋_GB2312"/>
      <w:kern w:val="2"/>
      <w:sz w:val="18"/>
      <w:szCs w:val="18"/>
    </w:rPr>
  </w:style>
  <w:style w:type="character" w:customStyle="1" w:styleId="36">
    <w:name w:val="页眉 字符"/>
    <w:basedOn w:val="28"/>
    <w:link w:val="16"/>
    <w:qFormat/>
    <w:uiPriority w:val="0"/>
    <w:rPr>
      <w:rFonts w:eastAsia="仿宋_GB2312"/>
      <w:kern w:val="2"/>
      <w:sz w:val="18"/>
      <w:szCs w:val="18"/>
    </w:rPr>
  </w:style>
  <w:style w:type="character" w:customStyle="1" w:styleId="37">
    <w:name w:val="批注主题 字符"/>
    <w:basedOn w:val="33"/>
    <w:link w:val="23"/>
    <w:qFormat/>
    <w:uiPriority w:val="0"/>
    <w:rPr>
      <w:rFonts w:eastAsia="仿宋_GB2312"/>
      <w:b/>
      <w:bCs/>
      <w:kern w:val="2"/>
      <w:sz w:val="32"/>
      <w:szCs w:val="24"/>
    </w:rPr>
  </w:style>
  <w:style w:type="paragraph" w:customStyle="1" w:styleId="38">
    <w:name w:val="Char1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39">
    <w:name w:val="Body Text First Indent1"/>
    <w:basedOn w:val="9"/>
    <w:next w:val="16"/>
    <w:qFormat/>
    <w:uiPriority w:val="0"/>
    <w:pPr>
      <w:ind w:firstLine="420" w:firstLineChars="100"/>
    </w:pPr>
    <w:rPr>
      <w:sz w:val="20"/>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styleId="41">
    <w:name w:val="List Paragraph"/>
    <w:basedOn w:val="1"/>
    <w:qFormat/>
    <w:uiPriority w:val="34"/>
    <w:pPr>
      <w:ind w:firstLine="420" w:firstLineChars="200"/>
    </w:pPr>
    <w:rPr>
      <w:rFonts w:ascii="Calibri" w:hAnsi="Calibri" w:eastAsia="等线"/>
      <w:kern w:val="0"/>
      <w:sz w:val="20"/>
      <w:szCs w:val="20"/>
    </w:rPr>
  </w:style>
  <w:style w:type="character" w:customStyle="1" w:styleId="42">
    <w:name w:val="标题 2 字符"/>
    <w:link w:val="4"/>
    <w:semiHidden/>
    <w:qFormat/>
    <w:uiPriority w:val="0"/>
    <w:rPr>
      <w:rFonts w:ascii="Calibri Light" w:hAnsi="Calibri Light" w:eastAsia="宋体" w:cs="Times New Roman"/>
      <w:b/>
      <w:bCs/>
      <w:sz w:val="32"/>
      <w:szCs w:val="32"/>
    </w:rPr>
  </w:style>
  <w:style w:type="character" w:customStyle="1" w:styleId="43">
    <w:name w:val="标题 1 字符"/>
    <w:link w:val="3"/>
    <w:qFormat/>
    <w:uiPriority w:val="0"/>
    <w:rPr>
      <w:rFonts w:ascii="Times New Roman" w:hAnsi="Times New Roman" w:eastAsia="宋体" w:cs="Times New Roman"/>
      <w:b/>
      <w:kern w:val="44"/>
      <w:sz w:val="44"/>
      <w:szCs w:val="20"/>
    </w:rPr>
  </w:style>
  <w:style w:type="paragraph" w:customStyle="1" w:styleId="44">
    <w:name w:val="3"/>
    <w:basedOn w:val="1"/>
    <w:qFormat/>
    <w:uiPriority w:val="0"/>
    <w:pPr>
      <w:adjustRightInd w:val="0"/>
      <w:spacing w:line="312" w:lineRule="atLeast"/>
      <w:ind w:left="1134" w:hanging="566"/>
    </w:pPr>
    <w:rPr>
      <w:rFonts w:ascii="昆仑楷体" w:eastAsia="昆仑楷体"/>
      <w:kern w:val="0"/>
      <w:sz w:val="24"/>
      <w:szCs w:val="20"/>
    </w:rPr>
  </w:style>
  <w:style w:type="paragraph" w:customStyle="1" w:styleId="45">
    <w:name w:val="Table Paragraph"/>
    <w:basedOn w:val="1"/>
    <w:qFormat/>
    <w:uiPriority w:val="1"/>
    <w:pPr>
      <w:jc w:val="left"/>
    </w:pPr>
    <w:rPr>
      <w:rFonts w:ascii="宋体" w:hAnsi="宋体" w:eastAsia="宋体" w:cs="宋体"/>
      <w:kern w:val="0"/>
      <w:sz w:val="22"/>
      <w:szCs w:val="22"/>
      <w:lang w:eastAsia="en-US"/>
    </w:rPr>
  </w:style>
  <w:style w:type="paragraph" w:customStyle="1" w:styleId="46">
    <w:name w:val="样式1"/>
    <w:basedOn w:val="9"/>
    <w:qFormat/>
    <w:uiPriority w:val="0"/>
    <w:pPr>
      <w:jc w:val="center"/>
    </w:pPr>
    <w:rPr>
      <w:rFonts w:ascii="Cambria" w:hAnsi="Cambria"/>
      <w:b/>
      <w:bCs/>
      <w:kern w:val="44"/>
      <w:sz w:val="32"/>
      <w:szCs w:val="44"/>
      <w:lang w:val="zh-CN"/>
    </w:rPr>
  </w:style>
  <w:style w:type="paragraph" w:customStyle="1" w:styleId="47">
    <w:name w:val="正文2"/>
    <w:basedOn w:val="1"/>
    <w:qFormat/>
    <w:uiPriority w:val="0"/>
    <w:pPr>
      <w:spacing w:before="156" w:line="360" w:lineRule="auto"/>
      <w:ind w:firstLine="510" w:firstLineChars="200"/>
    </w:pPr>
    <w:rPr>
      <w:rFonts w:ascii="Calibri" w:hAnsi="Calibri" w:eastAsia="宋体"/>
      <w:kern w:val="0"/>
      <w:sz w:val="24"/>
      <w:szCs w:val="20"/>
    </w:rPr>
  </w:style>
  <w:style w:type="paragraph" w:customStyle="1" w:styleId="48">
    <w:name w:val="列出段落1"/>
    <w:basedOn w:val="1"/>
    <w:qFormat/>
    <w:uiPriority w:val="34"/>
    <w:pPr>
      <w:ind w:firstLine="420" w:firstLineChars="200"/>
    </w:pPr>
    <w:rPr>
      <w:rFonts w:eastAsia="宋体"/>
      <w:sz w:val="21"/>
    </w:rPr>
  </w:style>
  <w:style w:type="paragraph" w:customStyle="1" w:styleId="49">
    <w:name w:val="_Style 284"/>
    <w:basedOn w:val="9"/>
    <w:next w:val="1"/>
    <w:qFormat/>
    <w:uiPriority w:val="99"/>
    <w:pPr>
      <w:widowControl/>
      <w:ind w:firstLine="420" w:firstLineChars="100"/>
      <w:jc w:val="left"/>
    </w:pPr>
    <w:rPr>
      <w:kern w:val="0"/>
    </w:rPr>
  </w:style>
  <w:style w:type="paragraph" w:customStyle="1" w:styleId="50">
    <w:name w:val="纯文本1"/>
    <w:basedOn w:val="1"/>
    <w:qFormat/>
    <w:uiPriority w:val="0"/>
    <w:rPr>
      <w:rFonts w:ascii="宋体" w:hAnsi="Courier New" w:eastAsia="宋体"/>
      <w:kern w:val="0"/>
      <w:sz w:val="20"/>
      <w:szCs w:val="21"/>
    </w:rPr>
  </w:style>
  <w:style w:type="paragraph" w:customStyle="1" w:styleId="51">
    <w:name w:val="纯文本2"/>
    <w:basedOn w:val="1"/>
    <w:qFormat/>
    <w:uiPriority w:val="0"/>
    <w:rPr>
      <w:rFonts w:ascii="宋体" w:hAnsi="Courier New" w:eastAsia="宋体"/>
      <w:sz w:val="20"/>
    </w:rPr>
  </w:style>
  <w:style w:type="paragraph" w:customStyle="1" w:styleId="52">
    <w:name w:val="纯文本11"/>
    <w:basedOn w:val="1"/>
    <w:qFormat/>
    <w:uiPriority w:val="0"/>
    <w:rPr>
      <w:rFonts w:ascii="宋体" w:hAnsi="Courier New" w:eastAsia="宋体"/>
      <w:sz w:val="21"/>
      <w:szCs w:val="22"/>
    </w:rPr>
  </w:style>
  <w:style w:type="paragraph" w:customStyle="1" w:styleId="53">
    <w:name w:val="正文缩进1"/>
    <w:basedOn w:val="1"/>
    <w:next w:val="10"/>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4">
    <w:name w:val="text-tag"/>
    <w:basedOn w:val="1"/>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6">
    <w:name w:val="[Normal]"/>
    <w:qFormat/>
    <w:uiPriority w:val="99"/>
    <w:rPr>
      <w:rFonts w:ascii="宋体" w:hAnsi="宋体" w:eastAsia="宋体" w:cs="Times New Roman"/>
      <w:sz w:val="24"/>
      <w:szCs w:val="22"/>
      <w:lang w:val="zh-CN" w:eastAsia="zh-CN" w:bidi="ar-SA"/>
    </w:rPr>
  </w:style>
  <w:style w:type="paragraph" w:customStyle="1" w:styleId="57">
    <w:name w:val="dyibufen"/>
    <w:basedOn w:val="1"/>
    <w:qFormat/>
    <w:uiPriority w:val="0"/>
    <w:pPr>
      <w:spacing w:line="360" w:lineRule="auto"/>
      <w:jc w:val="center"/>
      <w:outlineLvl w:val="0"/>
    </w:pPr>
    <w:rPr>
      <w:rFonts w:ascii="宋体" w:hAnsi="宋体" w:eastAsia="宋体"/>
      <w:b/>
      <w:color w:val="000000"/>
      <w:szCs w:val="32"/>
    </w:rPr>
  </w:style>
  <w:style w:type="paragraph" w:customStyle="1" w:styleId="58">
    <w:name w:val="_Style 2"/>
    <w:basedOn w:val="1"/>
    <w:qFormat/>
    <w:uiPriority w:val="0"/>
    <w:pPr>
      <w:spacing w:line="360" w:lineRule="auto"/>
      <w:ind w:firstLine="420" w:firstLineChars="200"/>
    </w:pPr>
    <w:rPr>
      <w:rFonts w:eastAsia="宋体"/>
      <w:sz w:val="24"/>
    </w:rPr>
  </w:style>
  <w:style w:type="character" w:customStyle="1" w:styleId="59">
    <w:name w:val="10"/>
    <w:basedOn w:val="28"/>
    <w:qFormat/>
    <w:uiPriority w:val="0"/>
    <w:rPr>
      <w:rFonts w:hint="default" w:ascii="Times New Roman" w:hAnsi="Times New Roman" w:eastAsia="宋体" w:cs="Times New Roman"/>
    </w:rPr>
  </w:style>
  <w:style w:type="character" w:customStyle="1" w:styleId="60">
    <w:name w:val="15"/>
    <w:basedOn w:val="28"/>
    <w:qFormat/>
    <w:uiPriority w:val="0"/>
    <w:rPr>
      <w:rFonts w:hint="default" w:ascii="Times New Roman" w:hAnsi="Times New Roman" w:eastAsia="宋体" w:cs="Times New Roman"/>
    </w:rPr>
  </w:style>
  <w:style w:type="table" w:customStyle="1" w:styleId="61">
    <w:name w:val="Table Normal"/>
    <w:semiHidden/>
    <w:unhideWhenUsed/>
    <w:qFormat/>
    <w:uiPriority w:val="0"/>
    <w:tblPr>
      <w:tblCellMar>
        <w:top w:w="0" w:type="dxa"/>
        <w:left w:w="0" w:type="dxa"/>
        <w:bottom w:w="0" w:type="dxa"/>
        <w:right w:w="0" w:type="dxa"/>
      </w:tblCellMar>
    </w:tblPr>
  </w:style>
  <w:style w:type="character" w:customStyle="1" w:styleId="62">
    <w:name w:val="font61"/>
    <w:basedOn w:val="28"/>
    <w:qFormat/>
    <w:uiPriority w:val="0"/>
    <w:rPr>
      <w:rFonts w:ascii="宋体" w:hAnsi="宋体" w:eastAsia="宋体" w:cs="宋体"/>
      <w:color w:val="000000"/>
      <w:sz w:val="20"/>
      <w:szCs w:val="20"/>
      <w:u w:val="none"/>
    </w:rPr>
  </w:style>
  <w:style w:type="paragraph" w:customStyle="1" w:styleId="63">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80</Pages>
  <Words>17809</Words>
  <Characters>20515</Characters>
  <Lines>374</Lines>
  <Paragraphs>105</Paragraphs>
  <TotalTime>10</TotalTime>
  <ScaleCrop>false</ScaleCrop>
  <LinksUpToDate>false</LinksUpToDate>
  <CharactersWithSpaces>21009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阿宝</cp:lastModifiedBy>
  <cp:lastPrinted>2025-03-05T06:40:00Z</cp:lastPrinted>
  <dcterms:modified xsi:type="dcterms:W3CDTF">2025-05-06T06:53:36Z</dcterms:modified>
  <dc:title>杭州市城市建设资产经营有限公司董事会文件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0353E41985484A4E9CFFF186EEF3D149_13</vt:lpwstr>
  </property>
  <property fmtid="{D5CDD505-2E9C-101B-9397-08002B2CF9AE}" pid="4" name="KSOTemplateDocerSaveRecord">
    <vt:lpwstr>eyJoZGlkIjoiMzEwNTM5NzYwMDRjMzkwZTVkZjY2ODkwMGIxNGU0OTUiLCJ1c2VySWQiOiI1MjA1OTc1NTIifQ==</vt:lpwstr>
  </property>
</Properties>
</file>