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pageBreakBefore w:val="0"/>
        <w:kinsoku/>
        <w:wordWrap/>
        <w:topLinePunct w:val="0"/>
        <w:bidi w:val="0"/>
        <w:spacing w:line="360" w:lineRule="auto"/>
        <w:jc w:val="center"/>
        <w:rPr>
          <w:rFonts w:hint="eastAsia" w:ascii="仿宋" w:hAnsi="仿宋" w:eastAsia="仿宋" w:cs="仿宋"/>
          <w:b/>
          <w:sz w:val="84"/>
          <w:szCs w:val="84"/>
        </w:rPr>
      </w:pPr>
      <w:r>
        <w:rPr>
          <w:rFonts w:hint="eastAsia" w:ascii="仿宋" w:hAnsi="仿宋" w:eastAsia="仿宋" w:cs="仿宋"/>
          <w:b/>
          <w:sz w:val="72"/>
          <w:szCs w:val="72"/>
        </w:rPr>
        <w:t>询价文件</w:t>
      </w:r>
    </w:p>
    <w:p>
      <w:pPr>
        <w:pageBreakBefore w:val="0"/>
        <w:kinsoku/>
        <w:wordWrap/>
        <w:topLinePunct w:val="0"/>
        <w:bidi w:val="0"/>
        <w:spacing w:line="360" w:lineRule="auto"/>
        <w:jc w:val="center"/>
        <w:rPr>
          <w:rFonts w:hint="eastAsia" w:ascii="仿宋" w:hAnsi="仿宋" w:eastAsia="仿宋" w:cs="仿宋"/>
          <w:b/>
          <w:sz w:val="48"/>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202305006</w:t>
      </w:r>
    </w:p>
    <w:p>
      <w:pPr>
        <w:pageBreakBefore w:val="0"/>
        <w:kinsoku/>
        <w:wordWrap/>
        <w:topLinePunct w:val="0"/>
        <w:bidi w:val="0"/>
        <w:spacing w:line="360" w:lineRule="auto"/>
        <w:ind w:firstLine="80" w:firstLineChars="25"/>
        <w:jc w:val="center"/>
        <w:rPr>
          <w:rFonts w:hint="default" w:ascii="仿宋" w:hAnsi="仿宋" w:eastAsia="仿宋" w:cs="仿宋"/>
          <w:sz w:val="84"/>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eastAsia="zh-CN"/>
        </w:rPr>
        <w:t>汽轮机维保服务采购</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五月</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pageBreakBefore w:val="0"/>
        <w:kinsoku/>
        <w:wordWrap/>
        <w:topLinePunct w:val="0"/>
        <w:bidi w:val="0"/>
        <w:spacing w:line="360" w:lineRule="auto"/>
        <w:rPr>
          <w:rFonts w:hint="eastAsia" w:ascii="仿宋" w:hAnsi="仿宋" w:eastAsia="仿宋" w:cs="仿宋"/>
          <w:sz w:val="36"/>
        </w:rPr>
      </w:pPr>
      <w:r>
        <w:rPr>
          <w:rFonts w:hint="eastAsia" w:ascii="仿宋" w:hAnsi="仿宋" w:eastAsia="仿宋" w:cs="仿宋"/>
          <w:sz w:val="36"/>
        </w:rPr>
        <w:fldChar w:fldCharType="end"/>
      </w:r>
    </w:p>
    <w:p>
      <w:pPr>
        <w:pageBreakBefore w:val="0"/>
        <w:kinsoku/>
        <w:wordWrap/>
        <w:topLinePunct w:val="0"/>
        <w:bidi w:val="0"/>
        <w:spacing w:line="360" w:lineRule="auto"/>
        <w:rPr>
          <w:rFonts w:hint="eastAsia" w:ascii="仿宋" w:hAnsi="仿宋" w:eastAsia="仿宋" w:cs="仿宋"/>
          <w:sz w:val="36"/>
        </w:rPr>
      </w:pPr>
    </w:p>
    <w:p>
      <w:pPr>
        <w:pageBreakBefore w:val="0"/>
        <w:kinsoku/>
        <w:wordWrap/>
        <w:topLinePunct w:val="0"/>
        <w:bidi w:val="0"/>
        <w:snapToGrid w:val="0"/>
        <w:spacing w:line="360" w:lineRule="auto"/>
        <w:jc w:val="center"/>
        <w:rPr>
          <w:rFonts w:hint="eastAsia" w:ascii="仿宋" w:hAnsi="仿宋" w:eastAsia="仿宋" w:cs="仿宋"/>
          <w:snapToGrid w:val="0"/>
          <w:sz w:val="28"/>
          <w:szCs w:val="28"/>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杭州临江环境能源有限公司三固项目因日常生产需要，需采购</w:t>
      </w:r>
      <w:r>
        <w:rPr>
          <w:rFonts w:hint="eastAsia" w:ascii="仿宋" w:hAnsi="仿宋" w:eastAsia="仿宋" w:cs="仿宋"/>
          <w:sz w:val="28"/>
          <w:szCs w:val="28"/>
          <w:lang w:eastAsia="zh-CN"/>
        </w:rPr>
        <w:t>汽轮机维保服务</w:t>
      </w:r>
      <w:r>
        <w:rPr>
          <w:rFonts w:hint="eastAsia" w:ascii="仿宋" w:hAnsi="仿宋" w:eastAsia="仿宋" w:cs="仿宋"/>
          <w:sz w:val="28"/>
          <w:szCs w:val="28"/>
        </w:rPr>
        <w:t>，欢迎符合要求的供应商积极参与。</w:t>
      </w:r>
    </w:p>
    <w:p>
      <w:pPr>
        <w:pageBreakBefore w:val="0"/>
        <w:numPr>
          <w:ilvl w:val="0"/>
          <w:numId w:val="2"/>
        </w:numPr>
        <w:kinsoku/>
        <w:wordWrap/>
        <w:topLinePunct w:val="0"/>
        <w:bidi w:val="0"/>
        <w:adjustRightInd w:val="0"/>
        <w:snapToGrid w:val="0"/>
        <w:spacing w:line="360" w:lineRule="auto"/>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2"/>
        <w:pageBreakBefore w:val="0"/>
        <w:kinsoku/>
        <w:wordWrap/>
        <w:topLinePunct w:val="0"/>
        <w:bidi w:val="0"/>
        <w:spacing w:line="360" w:lineRule="auto"/>
        <w:ind w:left="600"/>
        <w:rPr>
          <w:rFonts w:hint="eastAsia"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default" w:ascii="仿宋" w:hAnsi="仿宋" w:eastAsia="仿宋" w:cs="仿宋"/>
          <w:b w:val="0"/>
          <w:caps w:val="0"/>
          <w:sz w:val="28"/>
          <w:szCs w:val="28"/>
          <w:lang w:val="en-US" w:eastAsia="zh-CN"/>
        </w:rPr>
        <w:t>202305006</w:t>
      </w:r>
    </w:p>
    <w:p>
      <w:pPr>
        <w:pStyle w:val="2"/>
        <w:pageBreakBefore w:val="0"/>
        <w:kinsoku/>
        <w:wordWrap/>
        <w:topLinePunct w:val="0"/>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：汽轮机汽轮机年度维保，</w:t>
      </w:r>
      <w:r>
        <w:rPr>
          <w:rFonts w:hint="eastAsia" w:ascii="仿宋" w:hAnsi="仿宋" w:eastAsia="仿宋" w:cs="仿宋"/>
          <w:sz w:val="28"/>
          <w:szCs w:val="28"/>
          <w:lang w:val="en-US" w:eastAsia="zh-CN"/>
        </w:rPr>
        <w:t>目详见《第三部分 询价内容》；</w:t>
      </w:r>
    </w:p>
    <w:p>
      <w:pPr>
        <w:pStyle w:val="2"/>
        <w:pageBreakBefore w:val="0"/>
        <w:kinsoku/>
        <w:wordWrap/>
        <w:topLinePunct w:val="0"/>
        <w:bidi w:val="0"/>
        <w:spacing w:line="360" w:lineRule="auto"/>
        <w:ind w:firstLine="560" w:firstLineChars="200"/>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3.本项目采购总限额为15.3万元，其中维保服务限额12万元，备件限额3.3万元。</w:t>
      </w:r>
    </w:p>
    <w:p>
      <w:pPr>
        <w:pStyle w:val="2"/>
        <w:pageBreakBefore w:val="0"/>
        <w:kinsoku/>
        <w:wordWrap/>
        <w:topLinePunct w:val="0"/>
        <w:bidi w:val="0"/>
        <w:spacing w:line="360" w:lineRule="auto"/>
        <w:ind w:firstLine="560" w:firstLineChars="200"/>
        <w:rPr>
          <w:rFonts w:hint="eastAsia" w:ascii="仿宋" w:hAnsi="仿宋" w:eastAsia="仿宋" w:cs="仿宋"/>
          <w:b w:val="0"/>
          <w:caps w:val="0"/>
          <w:kern w:val="2"/>
          <w:sz w:val="28"/>
          <w:szCs w:val="28"/>
          <w:lang w:val="en-US" w:eastAsia="zh-CN" w:bidi="ar-SA"/>
        </w:rPr>
      </w:pPr>
      <w:bookmarkStart w:id="25" w:name="_GoBack"/>
      <w:bookmarkEnd w:id="25"/>
      <w:r>
        <w:rPr>
          <w:rFonts w:hint="default" w:ascii="仿宋" w:hAnsi="仿宋" w:eastAsia="仿宋" w:cs="仿宋"/>
          <w:b w:val="0"/>
          <w:caps w:val="0"/>
          <w:kern w:val="2"/>
          <w:sz w:val="28"/>
          <w:szCs w:val="28"/>
          <w:lang w:val="en-US" w:eastAsia="zh-CN" w:bidi="ar-SA"/>
        </w:rPr>
        <w:t>4.</w:t>
      </w:r>
      <w:r>
        <w:rPr>
          <w:rFonts w:hint="eastAsia" w:ascii="仿宋" w:hAnsi="仿宋" w:eastAsia="仿宋" w:cs="仿宋"/>
          <w:b w:val="0"/>
          <w:caps w:val="0"/>
          <w:kern w:val="2"/>
          <w:sz w:val="28"/>
          <w:szCs w:val="28"/>
          <w:lang w:val="en-US" w:eastAsia="zh-CN" w:bidi="ar-SA"/>
        </w:rPr>
        <w:t>询价文件下载地址：杭州临江环境能源有限公司网站。</w:t>
      </w:r>
    </w:p>
    <w:p>
      <w:pPr>
        <w:pageBreakBefore w:val="0"/>
        <w:kinsoku/>
        <w:wordWrap/>
        <w:topLinePunct w:val="0"/>
        <w:bidi w:val="0"/>
        <w:snapToGrid w:val="0"/>
        <w:spacing w:line="360" w:lineRule="auto"/>
        <w:ind w:firstLine="585"/>
        <w:jc w:val="left"/>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二、供应商要求。</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b w:val="0"/>
          <w:caps w:val="0"/>
          <w:kern w:val="2"/>
          <w:sz w:val="28"/>
          <w:szCs w:val="28"/>
          <w:lang w:val="en-US" w:eastAsia="zh-CN" w:bidi="ar-SA"/>
        </w:rPr>
        <w:t>1.在中华人民共和国境内注册，具有独立法人资格/具有独立承担民事责任的能力，经</w:t>
      </w:r>
      <w:r>
        <w:rPr>
          <w:rFonts w:hint="eastAsia" w:ascii="仿宋" w:hAnsi="仿宋" w:eastAsia="仿宋" w:cs="仿宋"/>
          <w:sz w:val="28"/>
          <w:szCs w:val="28"/>
          <w:lang w:val="en-US" w:eastAsia="zh-CN"/>
        </w:rPr>
        <w:t>营范围包含汽轮机维保等相关经营业务。（提供营业执照（或者事业单位法人证书、社会团体法人登记证书、其他组织登记证明文件）副本复印件（加盖公章）。</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2.报价人须具有自2018年1月1日起至少三例汽轮机维保等类似项目业绩（提供相关业绩合同复印件加盖公章）。</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3.未被“信用中国”（www.creditchina.gov.cn）、中国政府采购网（www.ccgp.gov.cn）等官方网站没有被列入失信被执行人、重大税收违法案件当事人名单、政府采购严重违法失信行为记录名单。</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30"/>
          <w:szCs w:val="30"/>
          <w:lang w:val="en-US" w:eastAsia="zh-CN"/>
        </w:rPr>
        <w:t>报价人不得为杭州临江环境能源有限公司不合格供应商或者在黑名单之内</w:t>
      </w:r>
      <w:r>
        <w:rPr>
          <w:rFonts w:hint="eastAsia" w:ascii="仿宋" w:hAnsi="仿宋" w:eastAsia="仿宋" w:cs="仿宋"/>
          <w:sz w:val="28"/>
          <w:szCs w:val="28"/>
          <w:lang w:val="en-US" w:eastAsia="zh-CN"/>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5.报价人须提供其股东信息及出资比例信息。</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.报价单位</w:t>
      </w:r>
      <w:r>
        <w:rPr>
          <w:rFonts w:hint="eastAsia" w:ascii="仿宋" w:hAnsi="仿宋" w:eastAsia="仿宋" w:cs="仿宋"/>
          <w:sz w:val="28"/>
          <w:szCs w:val="28"/>
        </w:rPr>
        <w:t>负责人为同一人或者存在控股、管理关系的不同单位，不得同时参加本项目</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79"/>
      <w:bookmarkStart w:id="7" w:name="_Toc530583922"/>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5</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26</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default" w:ascii="仿宋_GB2312" w:eastAsia="仿宋_GB2312"/>
          <w:sz w:val="30"/>
          <w:szCs w:val="30"/>
          <w:lang w:val="en-US" w:eastAsia="zh-CN"/>
        </w:rPr>
        <w:t>5</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17</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Style w:val="7"/>
        <w:rPr>
          <w:rFonts w:hint="eastAsia"/>
          <w:lang w:val="en-US" w:eastAsia="zh-CN"/>
        </w:rPr>
      </w:pPr>
    </w:p>
    <w:p>
      <w:pPr>
        <w:pStyle w:val="8"/>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bookmarkEnd w:id="6"/>
    <w:bookmarkEnd w:id="7"/>
    <w:p>
      <w:pPr>
        <w:keepNext w:val="0"/>
        <w:keepLines w:val="0"/>
        <w:pageBreakBefore w:val="0"/>
        <w:widowControl w:val="0"/>
        <w:kinsoku/>
        <w:wordWrap/>
        <w:overflowPunct/>
        <w:topLinePunct w:val="0"/>
        <w:autoSpaceDE/>
        <w:autoSpaceDN/>
        <w:bidi w:val="0"/>
        <w:snapToGrid w:val="0"/>
        <w:spacing w:line="360" w:lineRule="auto"/>
        <w:jc w:val="center"/>
        <w:rPr>
          <w:rFonts w:ascii="仿宋_GB2312" w:eastAsia="仿宋_GB2312"/>
          <w:snapToGrid w:val="0"/>
          <w:sz w:val="30"/>
          <w:szCs w:val="30"/>
        </w:rPr>
      </w:pPr>
      <w:bookmarkStart w:id="8" w:name="_Toc530583923"/>
      <w:bookmarkStart w:id="9" w:name="_Toc530583880"/>
      <w:r>
        <w:rPr>
          <w:rFonts w:hint="eastAsia" w:ascii="仿宋_GB2312" w:hAnsi="Arial" w:eastAsia="仿宋_GB2312" w:cs="Times New Roman"/>
          <w:b/>
          <w:snapToGrid w:val="0"/>
          <w:color w:val="000000"/>
          <w:kern w:val="44"/>
          <w:sz w:val="44"/>
          <w:szCs w:val="44"/>
          <w:lang w:val="en-US" w:eastAsia="zh-CN" w:bidi="ar-SA"/>
        </w:rPr>
        <w:t>第二部分   询价须知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eastAsia="zh-CN"/>
        </w:rPr>
        <w:t>工时费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w:t>
      </w:r>
      <w:r>
        <w:rPr>
          <w:rFonts w:hint="eastAsia" w:ascii="仿宋_GB2312" w:hAnsi="宋体" w:eastAsia="仿宋_GB2312"/>
          <w:b/>
          <w:bCs/>
          <w:sz w:val="30"/>
          <w:szCs w:val="30"/>
        </w:rPr>
        <w:t>通过年检的营业执照</w:t>
      </w:r>
      <w:r>
        <w:rPr>
          <w:rFonts w:hint="eastAsia" w:ascii="仿宋_GB2312" w:hAnsi="宋体" w:eastAsia="仿宋_GB2312"/>
          <w:b/>
          <w:bCs/>
          <w:sz w:val="30"/>
          <w:szCs w:val="30"/>
          <w:lang w:eastAsia="zh-CN"/>
        </w:rPr>
        <w:t>、业绩证明材料</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4" w:firstLineChars="257"/>
        <w:jc w:val="left"/>
        <w:rPr>
          <w:rFonts w:ascii="仿宋_GB2312" w:eastAsia="仿宋_GB2312"/>
          <w:b/>
          <w:bCs w:val="0"/>
          <w:sz w:val="30"/>
          <w:szCs w:val="30"/>
        </w:rPr>
      </w:pPr>
      <w:r>
        <w:rPr>
          <w:rFonts w:hint="eastAsia" w:ascii="仿宋_GB2312" w:eastAsia="仿宋_GB2312"/>
          <w:b/>
          <w:bCs w:val="0"/>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（四）报价总价超过最高限价的或者超过每项限价。</w:t>
      </w:r>
    </w:p>
    <w:p>
      <w:pPr>
        <w:pageBreakBefore w:val="0"/>
        <w:kinsoku/>
        <w:wordWrap/>
        <w:topLinePunct w:val="0"/>
        <w:bidi w:val="0"/>
        <w:snapToGrid w:val="0"/>
        <w:spacing w:line="360" w:lineRule="auto"/>
        <w:ind w:firstLine="6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（五）报价不全，存在缺项、漏项的。</w:t>
      </w:r>
    </w:p>
    <w:p>
      <w:pPr>
        <w:pageBreakBefore w:val="0"/>
        <w:kinsoku/>
        <w:wordWrap/>
        <w:topLinePunct w:val="0"/>
        <w:bidi w:val="0"/>
        <w:snapToGrid w:val="0"/>
        <w:spacing w:line="360" w:lineRule="auto"/>
        <w:ind w:firstLine="6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2"/>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ascii="仿宋_GB2312" w:hAnsi="宋体" w:eastAsia="仿宋_GB2312"/>
          <w:b/>
          <w:bCs/>
          <w:sz w:val="30"/>
          <w:szCs w:val="30"/>
        </w:rPr>
      </w:pPr>
      <w:r>
        <w:rPr>
          <w:rFonts w:hint="eastAsia" w:ascii="仿宋_GB2312" w:hAnsi="宋体" w:eastAsia="仿宋_GB2312"/>
          <w:b/>
          <w:bCs/>
          <w:sz w:val="30"/>
          <w:szCs w:val="30"/>
          <w:lang w:eastAsia="zh-CN"/>
        </w:rPr>
        <w:t>十三、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3"/>
        <w:pageBreakBefore w:val="0"/>
        <w:numPr>
          <w:ilvl w:val="0"/>
          <w:numId w:val="0"/>
        </w:numPr>
        <w:kinsoku/>
        <w:wordWrap/>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p>
      <w:pPr>
        <w:pStyle w:val="2"/>
        <w:pageBreakBefore w:val="0"/>
        <w:kinsoku/>
        <w:wordWrap/>
        <w:topLinePunct w:val="0"/>
        <w:bidi w:val="0"/>
        <w:spacing w:line="360" w:lineRule="auto"/>
        <w:ind w:firstLine="560" w:firstLineChars="200"/>
        <w:rPr>
          <w:rFonts w:hint="eastAsia" w:ascii="仿宋" w:hAnsi="仿宋" w:eastAsia="仿宋" w:cs="仿宋"/>
          <w:b w:val="0"/>
          <w:caps w:val="0"/>
          <w:color w:val="000000"/>
          <w:kern w:val="0"/>
          <w:sz w:val="28"/>
          <w:szCs w:val="28"/>
          <w:u w:color="000000"/>
          <w:lang w:val="en-US" w:eastAsia="zh-CN" w:bidi="ar-SA"/>
        </w:rPr>
      </w:pPr>
      <w:r>
        <w:rPr>
          <w:rFonts w:hint="eastAsia" w:ascii="仿宋" w:hAnsi="仿宋" w:eastAsia="仿宋" w:cs="仿宋"/>
          <w:b w:val="0"/>
          <w:caps w:val="0"/>
          <w:color w:val="000000"/>
          <w:kern w:val="0"/>
          <w:sz w:val="28"/>
          <w:szCs w:val="28"/>
          <w:u w:color="000000"/>
          <w:lang w:val="en-US" w:eastAsia="zh-CN" w:bidi="ar-SA"/>
        </w:rPr>
        <w:t>1.采购内容</w:t>
      </w:r>
    </w:p>
    <w:p>
      <w:pPr>
        <w:pStyle w:val="22"/>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1.1工作地点及次数要求</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1.1.1</w:t>
      </w:r>
      <w:r>
        <w:rPr>
          <w:rFonts w:hint="eastAsia" w:ascii="仿宋" w:hAnsi="仿宋" w:eastAsia="仿宋" w:cs="仿宋"/>
          <w:b w:val="0"/>
          <w:bCs w:val="0"/>
          <w:sz w:val="28"/>
          <w:szCs w:val="28"/>
        </w:rPr>
        <w:t>定期提供上门</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服务地点</w:t>
      </w:r>
      <w:r>
        <w:rPr>
          <w:rFonts w:hint="eastAsia" w:ascii="仿宋" w:hAnsi="仿宋" w:eastAsia="仿宋" w:cs="仿宋"/>
          <w:b w:val="0"/>
          <w:bCs w:val="0"/>
          <w:sz w:val="28"/>
          <w:szCs w:val="28"/>
          <w:lang w:eastAsia="zh-CN"/>
        </w:rPr>
        <w:t>为杭州临江环境能源有限公司内（红十五线和观十五线交叉口）。</w:t>
      </w:r>
    </w:p>
    <w:p>
      <w:pPr>
        <w:pStyle w:val="22"/>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val="0"/>
          <w:sz w:val="28"/>
          <w:szCs w:val="28"/>
          <w:lang w:val="en-US" w:eastAsia="zh-CN"/>
        </w:rPr>
        <w:t>1.1.2</w:t>
      </w:r>
      <w:r>
        <w:rPr>
          <w:rFonts w:hint="eastAsia" w:ascii="仿宋" w:hAnsi="仿宋" w:eastAsia="仿宋" w:cs="仿宋"/>
          <w:b w:val="0"/>
          <w:bCs w:val="0"/>
          <w:sz w:val="28"/>
          <w:szCs w:val="28"/>
        </w:rPr>
        <w:t>本项目服务期限</w:t>
      </w:r>
      <w:r>
        <w:rPr>
          <w:rFonts w:hint="eastAsia" w:ascii="仿宋" w:hAnsi="仿宋" w:eastAsia="仿宋" w:cs="仿宋"/>
          <w:b w:val="0"/>
          <w:bCs w:val="0"/>
          <w:sz w:val="28"/>
          <w:szCs w:val="28"/>
          <w:lang w:eastAsia="zh-CN"/>
        </w:rPr>
        <w:t>为</w:t>
      </w:r>
      <w:r>
        <w:rPr>
          <w:rFonts w:hint="eastAsia" w:ascii="仿宋" w:hAnsi="仿宋" w:eastAsia="仿宋" w:cs="仿宋"/>
          <w:b w:val="0"/>
          <w:bCs w:val="0"/>
          <w:sz w:val="28"/>
          <w:szCs w:val="28"/>
          <w:lang w:val="en-US" w:eastAsia="zh-CN"/>
        </w:rPr>
        <w:t>1年</w:t>
      </w:r>
      <w:r>
        <w:rPr>
          <w:rFonts w:hint="eastAsia" w:ascii="仿宋" w:hAnsi="仿宋" w:eastAsia="仿宋" w:cs="仿宋"/>
          <w:b w:val="0"/>
          <w:bCs w:val="0"/>
          <w:sz w:val="28"/>
          <w:szCs w:val="28"/>
        </w:rPr>
        <w:t>。</w:t>
      </w:r>
    </w:p>
    <w:p>
      <w:pPr>
        <w:pStyle w:val="22"/>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1.2汽轮机技术参数</w:t>
      </w:r>
    </w:p>
    <w:p>
      <w:pPr>
        <w:spacing w:line="360" w:lineRule="auto"/>
        <w:ind w:firstLine="562" w:firstLineChars="200"/>
        <w:outlineLvl w:val="2"/>
        <w:rPr>
          <w:rFonts w:hint="eastAsia" w:ascii="仿宋" w:hAnsi="仿宋" w:eastAsia="仿宋" w:cs="仿宋"/>
          <w:b/>
          <w:bCs/>
          <w:color w:val="000000"/>
          <w:kern w:val="0"/>
          <w:sz w:val="28"/>
          <w:szCs w:val="28"/>
          <w:u w:color="000000"/>
          <w:lang w:val="en-US" w:eastAsia="zh-CN" w:bidi="ar-SA"/>
        </w:rPr>
      </w:pPr>
      <w:r>
        <w:rPr>
          <w:rFonts w:hint="eastAsia" w:ascii="仿宋" w:hAnsi="仿宋" w:eastAsia="仿宋" w:cs="仿宋"/>
          <w:b/>
          <w:bCs/>
          <w:color w:val="000000"/>
          <w:kern w:val="0"/>
          <w:sz w:val="28"/>
          <w:szCs w:val="28"/>
          <w:u w:color="000000"/>
          <w:lang w:val="en-US" w:eastAsia="zh-CN" w:bidi="ar-SA"/>
        </w:rPr>
        <w:t>1.2.1主要设备参数</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755"/>
        <w:gridCol w:w="1238"/>
        <w:gridCol w:w="1538"/>
        <w:gridCol w:w="682"/>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1755"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设备名称</w:t>
            </w:r>
          </w:p>
        </w:tc>
        <w:tc>
          <w:tcPr>
            <w:tcW w:w="12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制造厂</w:t>
            </w:r>
          </w:p>
        </w:tc>
        <w:tc>
          <w:tcPr>
            <w:tcW w:w="15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规格型号</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数量</w:t>
            </w:r>
          </w:p>
        </w:tc>
        <w:tc>
          <w:tcPr>
            <w:tcW w:w="331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755"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汽轮机本体</w:t>
            </w:r>
          </w:p>
        </w:tc>
        <w:tc>
          <w:tcPr>
            <w:tcW w:w="12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N1.5-1.35</w:t>
            </w:r>
          </w:p>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（a 饱和）</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1台</w:t>
            </w:r>
          </w:p>
        </w:tc>
        <w:tc>
          <w:tcPr>
            <w:tcW w:w="331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整装式（无需扣缸）、电动盘车、撬装1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755"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汽轮机调节系（DEH）</w:t>
            </w:r>
          </w:p>
        </w:tc>
        <w:tc>
          <w:tcPr>
            <w:tcW w:w="12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和利时</w:t>
            </w:r>
          </w:p>
        </w:tc>
        <w:tc>
          <w:tcPr>
            <w:tcW w:w="1538"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T80电调自容式系统</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数字式电液调节器及执行机构，箱柜等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755"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汽机保安系统（ETS）</w:t>
            </w:r>
          </w:p>
        </w:tc>
        <w:tc>
          <w:tcPr>
            <w:tcW w:w="12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ATOS</w:t>
            </w:r>
          </w:p>
        </w:tc>
        <w:tc>
          <w:tcPr>
            <w:tcW w:w="15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含危急遮断器、停机电磁阀，箱柜等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755"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安全监测系统（TSI）</w:t>
            </w:r>
          </w:p>
        </w:tc>
        <w:tc>
          <w:tcPr>
            <w:tcW w:w="1238"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江阴天亿、</w:t>
            </w:r>
          </w:p>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无锡厚德</w:t>
            </w:r>
          </w:p>
        </w:tc>
        <w:tc>
          <w:tcPr>
            <w:tcW w:w="15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HZO-850</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含转速、位移、振动，箱柜等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755"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凝结系统</w:t>
            </w:r>
          </w:p>
        </w:tc>
        <w:tc>
          <w:tcPr>
            <w:tcW w:w="1238"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N-1-280</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含与汽机连接部及补偿器（单发）、</w:t>
            </w:r>
          </w:p>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凝结水泵（苏尔寿＋西门子）2台、撬装2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755"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真空系统</w:t>
            </w:r>
          </w:p>
        </w:tc>
        <w:tc>
          <w:tcPr>
            <w:tcW w:w="12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含启动、运行、疏水、撬装2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755"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汽机润滑、冷却系统</w:t>
            </w:r>
          </w:p>
        </w:tc>
        <w:tc>
          <w:tcPr>
            <w:tcW w:w="12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含油泵、过滤网、双油冷器、油路、油箱、撬装1、真空滤油机等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755"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辅机系统及管路</w:t>
            </w:r>
          </w:p>
        </w:tc>
        <w:tc>
          <w:tcPr>
            <w:tcW w:w="12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含疏水膨胀箱、均压箱（含调节阀、节流孔板、阀等）、滤水器、安全膜板（撬装）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1755"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减速箱</w:t>
            </w:r>
          </w:p>
        </w:tc>
        <w:tc>
          <w:tcPr>
            <w:tcW w:w="12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郑州机械研究所</w:t>
            </w:r>
          </w:p>
        </w:tc>
        <w:tc>
          <w:tcPr>
            <w:tcW w:w="15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5600/1500</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1台</w:t>
            </w:r>
          </w:p>
        </w:tc>
        <w:tc>
          <w:tcPr>
            <w:tcW w:w="3314"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撬装1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755"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同步交流发电机</w:t>
            </w:r>
          </w:p>
        </w:tc>
        <w:tc>
          <w:tcPr>
            <w:tcW w:w="1238"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柳州佳力</w:t>
            </w:r>
          </w:p>
        </w:tc>
        <w:tc>
          <w:tcPr>
            <w:tcW w:w="1538"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JFG1800-4/10500 1800Kw、10.5KV、1500rpm</w:t>
            </w:r>
          </w:p>
        </w:tc>
        <w:tc>
          <w:tcPr>
            <w:tcW w:w="68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1台</w:t>
            </w:r>
          </w:p>
        </w:tc>
        <w:tc>
          <w:tcPr>
            <w:tcW w:w="3314"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冷却方式：风扇自冷IC01</w:t>
            </w:r>
          </w:p>
        </w:tc>
      </w:tr>
    </w:tbl>
    <w:p>
      <w:pPr>
        <w:pStyle w:val="22"/>
        <w:pageBreakBefore w:val="0"/>
        <w:kinsoku/>
        <w:wordWrap/>
        <w:topLinePunct w:val="0"/>
        <w:bidi w:val="0"/>
        <w:snapToGrid w:val="0"/>
        <w:spacing w:line="360" w:lineRule="auto"/>
        <w:ind w:firstLine="601"/>
        <w:rPr>
          <w:rFonts w:hint="eastAsia" w:ascii="仿宋" w:hAnsi="仿宋" w:eastAsia="仿宋" w:cs="仿宋"/>
          <w:b/>
          <w:bCs w:val="0"/>
          <w:sz w:val="21"/>
          <w:szCs w:val="21"/>
          <w:lang w:val="en-US" w:eastAsia="zh-CN"/>
        </w:rPr>
      </w:pPr>
    </w:p>
    <w:p>
      <w:pPr>
        <w:spacing w:line="360" w:lineRule="auto"/>
        <w:ind w:firstLine="562" w:firstLineChars="200"/>
        <w:outlineLvl w:val="2"/>
        <w:rPr>
          <w:rFonts w:hint="eastAsia" w:ascii="仿宋" w:hAnsi="仿宋" w:eastAsia="仿宋" w:cs="仿宋"/>
          <w:b/>
          <w:bCs/>
          <w:color w:val="000000"/>
          <w:kern w:val="0"/>
          <w:sz w:val="28"/>
          <w:szCs w:val="28"/>
          <w:u w:color="000000"/>
          <w:lang w:val="en-US" w:eastAsia="zh-CN" w:bidi="ar-SA"/>
        </w:rPr>
      </w:pPr>
      <w:r>
        <w:rPr>
          <w:rFonts w:hint="eastAsia" w:ascii="仿宋" w:hAnsi="仿宋" w:eastAsia="仿宋" w:cs="仿宋"/>
          <w:b/>
          <w:bCs/>
          <w:color w:val="000000"/>
          <w:kern w:val="0"/>
          <w:sz w:val="28"/>
          <w:szCs w:val="28"/>
          <w:u w:color="000000"/>
          <w:lang w:val="en-US" w:eastAsia="zh-CN" w:bidi="ar-SA"/>
        </w:rPr>
        <w:t>1.2.2机组参数</w:t>
      </w:r>
    </w:p>
    <w:tbl>
      <w:tblPr>
        <w:tblStyle w:val="16"/>
        <w:tblW w:w="88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2233"/>
        <w:gridCol w:w="1800"/>
        <w:gridCol w:w="1260"/>
        <w:gridCol w:w="35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产品代号</w:t>
            </w:r>
          </w:p>
        </w:tc>
        <w:tc>
          <w:tcPr>
            <w:tcW w:w="1260" w:type="dxa"/>
            <w:vAlign w:val="center"/>
          </w:tcPr>
          <w:p>
            <w:pPr>
              <w:spacing w:line="360" w:lineRule="auto"/>
              <w:jc w:val="center"/>
              <w:rPr>
                <w:rFonts w:hint="eastAsia" w:ascii="仿宋" w:hAnsi="仿宋" w:eastAsia="仿宋" w:cs="仿宋"/>
                <w:color w:val="000000"/>
                <w:sz w:val="21"/>
                <w:szCs w:val="21"/>
              </w:rPr>
            </w:pP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KBN40A0L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产品型号</w:t>
            </w:r>
          </w:p>
        </w:tc>
        <w:tc>
          <w:tcPr>
            <w:tcW w:w="1260" w:type="dxa"/>
            <w:vAlign w:val="center"/>
          </w:tcPr>
          <w:p>
            <w:pPr>
              <w:spacing w:line="360" w:lineRule="auto"/>
              <w:jc w:val="center"/>
              <w:rPr>
                <w:rFonts w:hint="eastAsia" w:ascii="仿宋" w:hAnsi="仿宋" w:eastAsia="仿宋" w:cs="仿宋"/>
                <w:color w:val="000000"/>
                <w:sz w:val="21"/>
                <w:szCs w:val="21"/>
              </w:rPr>
            </w:pP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N1.5-1.35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额定功率</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MW</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最大功率</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MW</w:t>
            </w:r>
          </w:p>
        </w:tc>
        <w:tc>
          <w:tcPr>
            <w:tcW w:w="3512" w:type="dxa"/>
            <w:vAlign w:val="center"/>
          </w:tcPr>
          <w:p>
            <w:pPr>
              <w:spacing w:line="360" w:lineRule="auto"/>
              <w:jc w:val="center"/>
              <w:rPr>
                <w:rFonts w:hint="eastAsia" w:ascii="仿宋" w:hAnsi="仿宋" w:eastAsia="仿宋" w:cs="仿宋"/>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额定转速</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r/min</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5600/1500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旋转方向</w:t>
            </w:r>
          </w:p>
        </w:tc>
        <w:tc>
          <w:tcPr>
            <w:tcW w:w="1260" w:type="dxa"/>
            <w:vAlign w:val="center"/>
          </w:tcPr>
          <w:p>
            <w:pPr>
              <w:spacing w:line="360" w:lineRule="auto"/>
              <w:jc w:val="center"/>
              <w:rPr>
                <w:rFonts w:hint="eastAsia" w:ascii="仿宋" w:hAnsi="仿宋" w:eastAsia="仿宋" w:cs="仿宋"/>
                <w:color w:val="000000"/>
                <w:sz w:val="21"/>
                <w:szCs w:val="21"/>
              </w:rPr>
            </w:pP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逆时针（顺汽流方向看）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额定进汽压力及变化范围</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1.35（绝对）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额定进汽温度及变化范围</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193.35（饱和温度）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233" w:type="dxa"/>
            <w:vMerge w:val="restart"/>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进汽量</w:t>
            </w:r>
          </w:p>
        </w:tc>
        <w:tc>
          <w:tcPr>
            <w:tcW w:w="1800"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额定点</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t/h</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233" w:type="dxa"/>
            <w:vMerge w:val="continue"/>
            <w:vAlign w:val="center"/>
          </w:tcPr>
          <w:p>
            <w:pPr>
              <w:spacing w:line="360" w:lineRule="auto"/>
              <w:rPr>
                <w:rFonts w:hint="eastAsia" w:ascii="仿宋" w:hAnsi="仿宋" w:eastAsia="仿宋" w:cs="仿宋"/>
                <w:color w:val="000000"/>
                <w:sz w:val="21"/>
                <w:szCs w:val="21"/>
              </w:rPr>
            </w:pPr>
          </w:p>
        </w:tc>
        <w:tc>
          <w:tcPr>
            <w:tcW w:w="1800"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最  大</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t/h</w:t>
            </w:r>
          </w:p>
        </w:tc>
        <w:tc>
          <w:tcPr>
            <w:tcW w:w="3512" w:type="dxa"/>
            <w:vAlign w:val="center"/>
          </w:tcPr>
          <w:p>
            <w:pPr>
              <w:spacing w:line="360" w:lineRule="auto"/>
              <w:jc w:val="center"/>
              <w:rPr>
                <w:rFonts w:hint="eastAsia" w:ascii="仿宋" w:hAnsi="仿宋" w:eastAsia="仿宋" w:cs="仿宋"/>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233" w:type="dxa"/>
            <w:vMerge w:val="restart"/>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冷却水温</w:t>
            </w:r>
          </w:p>
        </w:tc>
        <w:tc>
          <w:tcPr>
            <w:tcW w:w="1800"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正  常</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233" w:type="dxa"/>
            <w:vMerge w:val="continue"/>
            <w:vAlign w:val="center"/>
          </w:tcPr>
          <w:p>
            <w:pPr>
              <w:spacing w:line="360" w:lineRule="auto"/>
              <w:rPr>
                <w:rFonts w:hint="eastAsia" w:ascii="仿宋" w:hAnsi="仿宋" w:eastAsia="仿宋" w:cs="仿宋"/>
                <w:color w:val="000000"/>
                <w:sz w:val="21"/>
                <w:szCs w:val="21"/>
              </w:rPr>
            </w:pPr>
          </w:p>
        </w:tc>
        <w:tc>
          <w:tcPr>
            <w:tcW w:w="1800"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最  高</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额定排汽压力</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0.01（绝对）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排汽温度</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45.81（饱和温度）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233" w:type="dxa"/>
            <w:vMerge w:val="restart"/>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汽 耗 率</w:t>
            </w:r>
          </w:p>
        </w:tc>
        <w:tc>
          <w:tcPr>
            <w:tcW w:w="1800"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额定点</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kg/kw.h</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233" w:type="dxa"/>
            <w:vMerge w:val="continue"/>
            <w:vAlign w:val="center"/>
          </w:tcPr>
          <w:p>
            <w:pPr>
              <w:spacing w:line="360" w:lineRule="auto"/>
              <w:rPr>
                <w:rFonts w:hint="eastAsia" w:ascii="仿宋" w:hAnsi="仿宋" w:eastAsia="仿宋" w:cs="仿宋"/>
                <w:color w:val="000000"/>
                <w:sz w:val="21"/>
                <w:szCs w:val="21"/>
              </w:rPr>
            </w:pPr>
          </w:p>
        </w:tc>
        <w:tc>
          <w:tcPr>
            <w:tcW w:w="1800"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最大点</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kg/kw.h</w:t>
            </w:r>
          </w:p>
        </w:tc>
        <w:tc>
          <w:tcPr>
            <w:tcW w:w="3512" w:type="dxa"/>
            <w:vAlign w:val="center"/>
          </w:tcPr>
          <w:p>
            <w:pPr>
              <w:spacing w:line="360" w:lineRule="auto"/>
              <w:jc w:val="center"/>
              <w:rPr>
                <w:rFonts w:hint="eastAsia" w:ascii="仿宋" w:hAnsi="仿宋" w:eastAsia="仿宋" w:cs="仿宋"/>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临界转速（一阶）</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r/min</w:t>
            </w:r>
          </w:p>
        </w:tc>
        <w:tc>
          <w:tcPr>
            <w:tcW w:w="3512" w:type="dxa"/>
            <w:vAlign w:val="center"/>
          </w:tcPr>
          <w:p>
            <w:pPr>
              <w:spacing w:line="360" w:lineRule="auto"/>
              <w:jc w:val="center"/>
              <w:rPr>
                <w:rFonts w:hint="eastAsia" w:ascii="仿宋" w:hAnsi="仿宋" w:eastAsia="仿宋" w:cs="仿宋"/>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额定转速时轴承座振动值(全振幅)</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mm</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≤0.03（全振幅）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临界转速时轴承座振动值(全振幅)</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mm</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≤0.15（全振幅）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汽轮机本体重量</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t</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汽轮机安装时最大件重量(整体安装)</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t</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汽轮机检修时最大件重量</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t</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转子重量</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Kg</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汽轮机外形尺寸（运行平台以上）</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w:t>
            </w:r>
          </w:p>
        </w:tc>
        <w:tc>
          <w:tcPr>
            <w:tcW w:w="351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~3.84×2.8×2.015</w:t>
            </w:r>
          </w:p>
          <w:p>
            <w:pPr>
              <w:spacing w:line="360" w:lineRule="auto"/>
              <w:ind w:left="165" w:hanging="165"/>
              <w:jc w:val="center"/>
              <w:rPr>
                <w:rFonts w:hint="eastAsia" w:ascii="仿宋" w:hAnsi="仿宋" w:eastAsia="仿宋" w:cs="仿宋"/>
                <w:color w:val="000000"/>
                <w:sz w:val="21"/>
                <w:szCs w:val="21"/>
              </w:rPr>
            </w:pPr>
            <w:r>
              <w:rPr>
                <w:rFonts w:hint="eastAsia" w:ascii="仿宋" w:hAnsi="仿宋" w:eastAsia="仿宋" w:cs="仿宋"/>
                <w:color w:val="000000"/>
                <w:sz w:val="21"/>
                <w:szCs w:val="21"/>
              </w:rPr>
              <w:t>（L×W×H）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33" w:type="dxa"/>
            <w:gridSpan w:val="2"/>
            <w:tcBorders>
              <w:bottom w:val="single" w:color="auto" w:sz="8" w:space="0"/>
            </w:tcBorders>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汽轮机中心标高（距运行平台）</w:t>
            </w:r>
          </w:p>
        </w:tc>
        <w:tc>
          <w:tcPr>
            <w:tcW w:w="1260" w:type="dxa"/>
            <w:tcBorders>
              <w:bottom w:val="single" w:color="auto" w:sz="8" w:space="0"/>
            </w:tcBorders>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w:t>
            </w:r>
          </w:p>
        </w:tc>
        <w:tc>
          <w:tcPr>
            <w:tcW w:w="3512" w:type="dxa"/>
            <w:tcBorders>
              <w:bottom w:val="single" w:color="auto" w:sz="8" w:space="0"/>
            </w:tcBorders>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1.050</w:t>
            </w:r>
          </w:p>
        </w:tc>
      </w:tr>
    </w:tbl>
    <w:p>
      <w:pPr>
        <w:spacing w:line="360" w:lineRule="auto"/>
        <w:rPr>
          <w:rFonts w:hint="eastAsia" w:ascii="仿宋" w:hAnsi="仿宋" w:eastAsia="仿宋" w:cs="仿宋"/>
          <w:color w:val="000000"/>
          <w:sz w:val="21"/>
          <w:szCs w:val="21"/>
        </w:rPr>
      </w:pPr>
    </w:p>
    <w:p>
      <w:pPr>
        <w:spacing w:line="360" w:lineRule="auto"/>
        <w:ind w:firstLine="562" w:firstLineChars="200"/>
        <w:outlineLvl w:val="2"/>
        <w:rPr>
          <w:rFonts w:hint="eastAsia" w:ascii="仿宋" w:hAnsi="仿宋" w:eastAsia="仿宋" w:cs="仿宋"/>
          <w:b/>
          <w:bCs/>
          <w:color w:val="000000"/>
          <w:kern w:val="0"/>
          <w:sz w:val="28"/>
          <w:szCs w:val="28"/>
          <w:u w:color="000000"/>
          <w:lang w:val="en-US" w:eastAsia="zh-CN" w:bidi="ar-SA"/>
        </w:rPr>
      </w:pPr>
      <w:r>
        <w:rPr>
          <w:rFonts w:hint="eastAsia" w:ascii="仿宋" w:hAnsi="仿宋" w:eastAsia="仿宋" w:cs="仿宋"/>
          <w:b/>
          <w:bCs/>
          <w:color w:val="000000"/>
          <w:kern w:val="0"/>
          <w:sz w:val="28"/>
          <w:szCs w:val="28"/>
          <w:u w:color="000000"/>
          <w:lang w:val="en-US" w:eastAsia="zh-CN" w:bidi="ar-SA"/>
        </w:rPr>
        <w:t>1.2.3调节保安润滑系统</w:t>
      </w:r>
    </w:p>
    <w:tbl>
      <w:tblPr>
        <w:tblStyle w:val="16"/>
        <w:tblW w:w="87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3796"/>
        <w:gridCol w:w="1260"/>
        <w:gridCol w:w="36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3796"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调速范围</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r/min</w:t>
            </w:r>
          </w:p>
        </w:tc>
        <w:tc>
          <w:tcPr>
            <w:tcW w:w="3653"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position w:val="-34"/>
                <w:sz w:val="21"/>
                <w:szCs w:val="21"/>
              </w:rPr>
              <w:t>4200～5880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3796"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危急遮断器动作转速</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r/min</w:t>
            </w:r>
          </w:p>
        </w:tc>
        <w:tc>
          <w:tcPr>
            <w:tcW w:w="3653"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position w:val="-34"/>
                <w:sz w:val="21"/>
                <w:szCs w:val="21"/>
              </w:rPr>
              <w:t>6160±56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3796" w:type="dxa"/>
          </w:tcPr>
          <w:p>
            <w:pPr>
              <w:spacing w:line="360" w:lineRule="auto"/>
              <w:rPr>
                <w:rFonts w:hint="eastAsia" w:ascii="仿宋" w:hAnsi="仿宋" w:eastAsia="仿宋" w:cs="仿宋"/>
                <w:position w:val="-34"/>
                <w:sz w:val="21"/>
                <w:szCs w:val="21"/>
              </w:rPr>
            </w:pPr>
            <w:r>
              <w:rPr>
                <w:rFonts w:hint="eastAsia" w:ascii="仿宋" w:hAnsi="仿宋" w:eastAsia="仿宋" w:cs="仿宋"/>
                <w:position w:val="-34"/>
                <w:sz w:val="21"/>
                <w:szCs w:val="21"/>
              </w:rPr>
              <w:t>电调超速保护</w:t>
            </w:r>
          </w:p>
        </w:tc>
        <w:tc>
          <w:tcPr>
            <w:tcW w:w="1260"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r/min</w:t>
            </w:r>
          </w:p>
        </w:tc>
        <w:tc>
          <w:tcPr>
            <w:tcW w:w="3653"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6216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3796"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调节汽阀最大行程</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mm</w:t>
            </w:r>
          </w:p>
        </w:tc>
        <w:tc>
          <w:tcPr>
            <w:tcW w:w="3653"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sz w:val="21"/>
                <w:szCs w:val="21"/>
              </w:rPr>
              <w:t>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3796"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调节油压</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653"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3796"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润滑油压</w:t>
            </w:r>
          </w:p>
        </w:tc>
        <w:tc>
          <w:tcPr>
            <w:tcW w:w="1260"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653"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0.08~0.12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3796"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汽轮机油牌号</w:t>
            </w:r>
          </w:p>
        </w:tc>
        <w:tc>
          <w:tcPr>
            <w:tcW w:w="1260" w:type="dxa"/>
            <w:vAlign w:val="center"/>
          </w:tcPr>
          <w:p>
            <w:pPr>
              <w:spacing w:line="360" w:lineRule="auto"/>
              <w:jc w:val="center"/>
              <w:rPr>
                <w:rFonts w:hint="eastAsia" w:ascii="仿宋" w:hAnsi="仿宋" w:eastAsia="仿宋" w:cs="仿宋"/>
                <w:color w:val="000000"/>
                <w:sz w:val="21"/>
                <w:szCs w:val="21"/>
              </w:rPr>
            </w:pPr>
          </w:p>
        </w:tc>
        <w:tc>
          <w:tcPr>
            <w:tcW w:w="3653"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L-TSA46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3796" w:type="dxa"/>
            <w:vAlign w:val="center"/>
          </w:tcPr>
          <w:p>
            <w:pPr>
              <w:spacing w:line="360" w:lineRule="auto"/>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润滑油耗量</w:t>
            </w:r>
          </w:p>
        </w:tc>
        <w:tc>
          <w:tcPr>
            <w:tcW w:w="1260"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L/min</w:t>
            </w:r>
          </w:p>
        </w:tc>
        <w:tc>
          <w:tcPr>
            <w:tcW w:w="3653"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200</w:t>
            </w:r>
          </w:p>
        </w:tc>
      </w:tr>
    </w:tbl>
    <w:p>
      <w:pPr>
        <w:spacing w:line="360" w:lineRule="auto"/>
        <w:rPr>
          <w:rFonts w:hint="eastAsia" w:ascii="仿宋" w:hAnsi="仿宋" w:eastAsia="仿宋" w:cs="仿宋"/>
          <w:color w:val="000000"/>
          <w:sz w:val="21"/>
          <w:szCs w:val="21"/>
        </w:rPr>
      </w:pPr>
    </w:p>
    <w:p>
      <w:pPr>
        <w:spacing w:line="360" w:lineRule="auto"/>
        <w:ind w:firstLine="562" w:firstLineChars="200"/>
        <w:outlineLvl w:val="2"/>
        <w:rPr>
          <w:rFonts w:hint="eastAsia" w:ascii="仿宋" w:hAnsi="仿宋" w:eastAsia="仿宋" w:cs="仿宋"/>
          <w:b/>
          <w:bCs/>
          <w:color w:val="000000"/>
          <w:kern w:val="0"/>
          <w:sz w:val="28"/>
          <w:szCs w:val="28"/>
          <w:u w:color="000000"/>
          <w:lang w:val="en-US" w:eastAsia="zh-CN" w:bidi="ar-SA"/>
        </w:rPr>
      </w:pPr>
      <w:r>
        <w:rPr>
          <w:rFonts w:hint="eastAsia" w:ascii="仿宋" w:hAnsi="仿宋" w:eastAsia="仿宋" w:cs="仿宋"/>
          <w:b/>
          <w:bCs/>
          <w:color w:val="000000"/>
          <w:kern w:val="0"/>
          <w:sz w:val="28"/>
          <w:szCs w:val="28"/>
          <w:u w:color="000000"/>
          <w:lang w:val="en-US" w:eastAsia="zh-CN" w:bidi="ar-SA"/>
        </w:rPr>
        <w:t>1.2.4整定值</w:t>
      </w:r>
    </w:p>
    <w:tbl>
      <w:tblPr>
        <w:tblStyle w:val="16"/>
        <w:tblW w:w="8575" w:type="dxa"/>
        <w:tblInd w:w="4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1192"/>
        <w:gridCol w:w="773"/>
        <w:gridCol w:w="26"/>
        <w:gridCol w:w="1586"/>
        <w:gridCol w:w="1166"/>
        <w:gridCol w:w="3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577" w:type="dxa"/>
            <w:gridSpan w:val="4"/>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排汽压力高限报警</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-0.084（表）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577" w:type="dxa"/>
            <w:gridSpan w:val="4"/>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排汽安全阀开启压力</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-0.040（表）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577" w:type="dxa"/>
            <w:gridSpan w:val="4"/>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sz w:val="21"/>
                <w:szCs w:val="21"/>
              </w:rPr>
              <w:t>排汽温度高限报警</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sz w:val="21"/>
                <w:szCs w:val="21"/>
              </w:rPr>
              <w:t>℃</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80（表）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192" w:type="dxa"/>
            <w:vMerge w:val="restart"/>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润滑油压</w:t>
            </w:r>
          </w:p>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降低保护</w:t>
            </w:r>
          </w:p>
        </w:tc>
        <w:tc>
          <w:tcPr>
            <w:tcW w:w="2385" w:type="dxa"/>
            <w:gridSpan w:val="3"/>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报 警</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0.07（表）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192" w:type="dxa"/>
            <w:vMerge w:val="continue"/>
            <w:vAlign w:val="center"/>
          </w:tcPr>
          <w:p>
            <w:pPr>
              <w:spacing w:line="360" w:lineRule="auto"/>
              <w:rPr>
                <w:rFonts w:hint="eastAsia" w:ascii="仿宋" w:hAnsi="仿宋" w:eastAsia="仿宋" w:cs="仿宋"/>
                <w:color w:val="000000"/>
                <w:sz w:val="21"/>
                <w:szCs w:val="21"/>
              </w:rPr>
            </w:pPr>
          </w:p>
        </w:tc>
        <w:tc>
          <w:tcPr>
            <w:tcW w:w="2385" w:type="dxa"/>
            <w:gridSpan w:val="3"/>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交流润滑油泵投入</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0.06（表）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192" w:type="dxa"/>
            <w:vMerge w:val="continue"/>
            <w:vAlign w:val="center"/>
          </w:tcPr>
          <w:p>
            <w:pPr>
              <w:spacing w:line="360" w:lineRule="auto"/>
              <w:rPr>
                <w:rFonts w:hint="eastAsia" w:ascii="仿宋" w:hAnsi="仿宋" w:eastAsia="仿宋" w:cs="仿宋"/>
                <w:color w:val="000000"/>
                <w:sz w:val="21"/>
                <w:szCs w:val="21"/>
              </w:rPr>
            </w:pPr>
          </w:p>
        </w:tc>
        <w:tc>
          <w:tcPr>
            <w:tcW w:w="2385" w:type="dxa"/>
            <w:gridSpan w:val="3"/>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直流润滑油泵投入</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0.04（表）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192" w:type="dxa"/>
            <w:vMerge w:val="continue"/>
            <w:vAlign w:val="center"/>
          </w:tcPr>
          <w:p>
            <w:pPr>
              <w:spacing w:line="360" w:lineRule="auto"/>
              <w:rPr>
                <w:rFonts w:hint="eastAsia" w:ascii="仿宋" w:hAnsi="仿宋" w:eastAsia="仿宋" w:cs="仿宋"/>
                <w:color w:val="000000"/>
                <w:sz w:val="21"/>
                <w:szCs w:val="21"/>
              </w:rPr>
            </w:pPr>
          </w:p>
        </w:tc>
        <w:tc>
          <w:tcPr>
            <w:tcW w:w="2385" w:type="dxa"/>
            <w:gridSpan w:val="3"/>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停 机</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0.04（表）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3577" w:type="dxa"/>
            <w:gridSpan w:val="4"/>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高压油压力低启备泵</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0.48（表）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3577" w:type="dxa"/>
            <w:gridSpan w:val="4"/>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保安油压力低停机</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0.2（表）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192" w:type="dxa"/>
            <w:vMerge w:val="restart"/>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轴承温度</w:t>
            </w:r>
          </w:p>
          <w:p>
            <w:pPr>
              <w:spacing w:line="360" w:lineRule="auto"/>
              <w:rPr>
                <w:rFonts w:hint="eastAsia" w:ascii="仿宋" w:hAnsi="仿宋" w:eastAsia="仿宋" w:cs="仿宋"/>
                <w:sz w:val="21"/>
                <w:szCs w:val="21"/>
              </w:rPr>
            </w:pPr>
            <w:r>
              <w:rPr>
                <w:rFonts w:hint="eastAsia" w:ascii="仿宋" w:hAnsi="仿宋" w:eastAsia="仿宋" w:cs="仿宋"/>
                <w:sz w:val="21"/>
                <w:szCs w:val="21"/>
              </w:rPr>
              <w:t>升高保护</w:t>
            </w:r>
          </w:p>
        </w:tc>
        <w:tc>
          <w:tcPr>
            <w:tcW w:w="773" w:type="dxa"/>
            <w:vMerge w:val="restart"/>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报 警</w:t>
            </w:r>
          </w:p>
        </w:tc>
        <w:tc>
          <w:tcPr>
            <w:tcW w:w="1612" w:type="dxa"/>
            <w:gridSpan w:val="2"/>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回 油 温 度</w:t>
            </w:r>
          </w:p>
        </w:tc>
        <w:tc>
          <w:tcPr>
            <w:tcW w:w="1166"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192" w:type="dxa"/>
            <w:vMerge w:val="continue"/>
            <w:vAlign w:val="center"/>
          </w:tcPr>
          <w:p>
            <w:pPr>
              <w:spacing w:line="360" w:lineRule="auto"/>
              <w:rPr>
                <w:rFonts w:hint="eastAsia" w:ascii="仿宋" w:hAnsi="仿宋" w:eastAsia="仿宋" w:cs="仿宋"/>
                <w:color w:val="000000"/>
                <w:sz w:val="21"/>
                <w:szCs w:val="21"/>
              </w:rPr>
            </w:pPr>
          </w:p>
        </w:tc>
        <w:tc>
          <w:tcPr>
            <w:tcW w:w="773" w:type="dxa"/>
            <w:vMerge w:val="continue"/>
            <w:vAlign w:val="center"/>
          </w:tcPr>
          <w:p>
            <w:pPr>
              <w:spacing w:line="360" w:lineRule="auto"/>
              <w:rPr>
                <w:rFonts w:hint="eastAsia" w:ascii="仿宋" w:hAnsi="仿宋" w:eastAsia="仿宋" w:cs="仿宋"/>
                <w:color w:val="000000"/>
                <w:sz w:val="21"/>
                <w:szCs w:val="21"/>
              </w:rPr>
            </w:pPr>
          </w:p>
        </w:tc>
        <w:tc>
          <w:tcPr>
            <w:tcW w:w="1612"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sz w:val="21"/>
                <w:szCs w:val="21"/>
              </w:rPr>
              <w:t>轴 瓦 温 度</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sz w:val="21"/>
                <w:szCs w:val="21"/>
              </w:rPr>
              <w:t>℃</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192" w:type="dxa"/>
            <w:vMerge w:val="continue"/>
            <w:shd w:val="clear" w:color="auto" w:fill="auto"/>
            <w:vAlign w:val="center"/>
          </w:tcPr>
          <w:p>
            <w:pPr>
              <w:spacing w:line="360" w:lineRule="auto"/>
              <w:rPr>
                <w:rFonts w:hint="eastAsia" w:ascii="仿宋" w:hAnsi="仿宋" w:eastAsia="仿宋" w:cs="仿宋"/>
                <w:color w:val="000000"/>
                <w:sz w:val="21"/>
                <w:szCs w:val="21"/>
              </w:rPr>
            </w:pPr>
          </w:p>
        </w:tc>
        <w:tc>
          <w:tcPr>
            <w:tcW w:w="773" w:type="dxa"/>
            <w:vMerge w:val="restart"/>
            <w:shd w:val="clear" w:color="auto" w:fill="auto"/>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sz w:val="21"/>
                <w:szCs w:val="21"/>
              </w:rPr>
              <w:t>停 机</w:t>
            </w:r>
          </w:p>
        </w:tc>
        <w:tc>
          <w:tcPr>
            <w:tcW w:w="1612" w:type="dxa"/>
            <w:gridSpan w:val="2"/>
            <w:shd w:val="clear" w:color="auto" w:fill="auto"/>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sz w:val="21"/>
                <w:szCs w:val="21"/>
              </w:rPr>
              <w:t>回 油 温 度</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sz w:val="21"/>
                <w:szCs w:val="21"/>
              </w:rPr>
              <w:t>℃</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192" w:type="dxa"/>
            <w:vMerge w:val="continue"/>
            <w:shd w:val="clear" w:color="auto" w:fill="auto"/>
            <w:vAlign w:val="center"/>
          </w:tcPr>
          <w:p>
            <w:pPr>
              <w:spacing w:line="360" w:lineRule="auto"/>
              <w:rPr>
                <w:rFonts w:hint="eastAsia" w:ascii="仿宋" w:hAnsi="仿宋" w:eastAsia="仿宋" w:cs="仿宋"/>
                <w:color w:val="000000"/>
                <w:sz w:val="21"/>
                <w:szCs w:val="21"/>
              </w:rPr>
            </w:pPr>
          </w:p>
        </w:tc>
        <w:tc>
          <w:tcPr>
            <w:tcW w:w="773" w:type="dxa"/>
            <w:vMerge w:val="continue"/>
            <w:shd w:val="clear" w:color="auto" w:fill="auto"/>
            <w:vAlign w:val="center"/>
          </w:tcPr>
          <w:p>
            <w:pPr>
              <w:spacing w:line="360" w:lineRule="auto"/>
              <w:rPr>
                <w:rFonts w:hint="eastAsia" w:ascii="仿宋" w:hAnsi="仿宋" w:eastAsia="仿宋" w:cs="仿宋"/>
                <w:color w:val="000000"/>
                <w:sz w:val="21"/>
                <w:szCs w:val="21"/>
              </w:rPr>
            </w:pPr>
          </w:p>
        </w:tc>
        <w:tc>
          <w:tcPr>
            <w:tcW w:w="1612" w:type="dxa"/>
            <w:gridSpan w:val="2"/>
            <w:shd w:val="clear" w:color="auto" w:fill="auto"/>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sz w:val="21"/>
                <w:szCs w:val="21"/>
              </w:rPr>
              <w:t>轴 瓦 温 度</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sz w:val="21"/>
                <w:szCs w:val="21"/>
              </w:rPr>
              <w:t>℃</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192" w:type="dxa"/>
            <w:vMerge w:val="restart"/>
            <w:shd w:val="clear" w:color="auto" w:fill="auto"/>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轴瓦振动</w:t>
            </w:r>
          </w:p>
        </w:tc>
        <w:tc>
          <w:tcPr>
            <w:tcW w:w="799" w:type="dxa"/>
            <w:gridSpan w:val="2"/>
            <w:shd w:val="clear" w:color="auto" w:fill="auto"/>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报警</w:t>
            </w:r>
          </w:p>
        </w:tc>
        <w:tc>
          <w:tcPr>
            <w:tcW w:w="1586" w:type="dxa"/>
            <w:shd w:val="clear" w:color="auto" w:fill="auto"/>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轴 瓦 振 动</w:t>
            </w:r>
          </w:p>
        </w:tc>
        <w:tc>
          <w:tcPr>
            <w:tcW w:w="1166"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μm</w:t>
            </w:r>
          </w:p>
        </w:tc>
        <w:tc>
          <w:tcPr>
            <w:tcW w:w="3832"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192" w:type="dxa"/>
            <w:vMerge w:val="continue"/>
            <w:shd w:val="clear" w:color="auto" w:fill="auto"/>
            <w:vAlign w:val="center"/>
          </w:tcPr>
          <w:p>
            <w:pPr>
              <w:spacing w:line="360" w:lineRule="auto"/>
              <w:rPr>
                <w:rFonts w:hint="eastAsia" w:ascii="仿宋" w:hAnsi="仿宋" w:eastAsia="仿宋" w:cs="仿宋"/>
                <w:color w:val="000000"/>
                <w:sz w:val="21"/>
                <w:szCs w:val="21"/>
              </w:rPr>
            </w:pPr>
          </w:p>
        </w:tc>
        <w:tc>
          <w:tcPr>
            <w:tcW w:w="799" w:type="dxa"/>
            <w:gridSpan w:val="2"/>
            <w:shd w:val="clear" w:color="auto" w:fill="auto"/>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sz w:val="21"/>
                <w:szCs w:val="21"/>
              </w:rPr>
              <w:t>停机</w:t>
            </w:r>
          </w:p>
        </w:tc>
        <w:tc>
          <w:tcPr>
            <w:tcW w:w="1586" w:type="dxa"/>
            <w:shd w:val="clear" w:color="auto" w:fill="auto"/>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sz w:val="21"/>
                <w:szCs w:val="21"/>
              </w:rPr>
              <w:t>轴 瓦 振 动</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sz w:val="21"/>
                <w:szCs w:val="21"/>
              </w:rPr>
              <w:t>μm</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sz w:val="21"/>
                <w:szCs w:val="21"/>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192" w:type="dxa"/>
            <w:vMerge w:val="restart"/>
            <w:shd w:val="clear" w:color="auto" w:fill="auto"/>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轴向位移</w:t>
            </w:r>
          </w:p>
        </w:tc>
        <w:tc>
          <w:tcPr>
            <w:tcW w:w="799" w:type="dxa"/>
            <w:gridSpan w:val="2"/>
            <w:shd w:val="clear" w:color="auto" w:fill="auto"/>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报警</w:t>
            </w:r>
          </w:p>
        </w:tc>
        <w:tc>
          <w:tcPr>
            <w:tcW w:w="1586" w:type="dxa"/>
            <w:shd w:val="clear" w:color="auto" w:fill="auto"/>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轴 向 位 移</w:t>
            </w:r>
          </w:p>
        </w:tc>
        <w:tc>
          <w:tcPr>
            <w:tcW w:w="1166"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mm</w:t>
            </w:r>
          </w:p>
        </w:tc>
        <w:tc>
          <w:tcPr>
            <w:tcW w:w="3832"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192" w:type="dxa"/>
            <w:vMerge w:val="continue"/>
            <w:shd w:val="clear" w:color="auto" w:fill="auto"/>
            <w:vAlign w:val="center"/>
          </w:tcPr>
          <w:p>
            <w:pPr>
              <w:spacing w:line="360" w:lineRule="auto"/>
              <w:rPr>
                <w:rFonts w:hint="eastAsia" w:ascii="仿宋" w:hAnsi="仿宋" w:eastAsia="仿宋" w:cs="仿宋"/>
                <w:color w:val="000000"/>
                <w:sz w:val="21"/>
                <w:szCs w:val="21"/>
              </w:rPr>
            </w:pPr>
          </w:p>
        </w:tc>
        <w:tc>
          <w:tcPr>
            <w:tcW w:w="799" w:type="dxa"/>
            <w:gridSpan w:val="2"/>
            <w:shd w:val="clear" w:color="auto" w:fill="auto"/>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sz w:val="21"/>
                <w:szCs w:val="21"/>
              </w:rPr>
              <w:t>停机</w:t>
            </w:r>
          </w:p>
        </w:tc>
        <w:tc>
          <w:tcPr>
            <w:tcW w:w="1586" w:type="dxa"/>
            <w:shd w:val="clear" w:color="auto" w:fill="auto"/>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sz w:val="21"/>
                <w:szCs w:val="21"/>
              </w:rPr>
              <w:t>轴 向 位 移</w:t>
            </w:r>
          </w:p>
        </w:tc>
        <w:tc>
          <w:tcPr>
            <w:tcW w:w="1166"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sz w:val="21"/>
                <w:szCs w:val="21"/>
              </w:rPr>
              <w:t>mm</w:t>
            </w:r>
          </w:p>
        </w:tc>
        <w:tc>
          <w:tcPr>
            <w:tcW w:w="3832"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sz w:val="21"/>
                <w:szCs w:val="21"/>
              </w:rPr>
              <w:t>0.7</w:t>
            </w:r>
          </w:p>
        </w:tc>
      </w:tr>
    </w:tbl>
    <w:p>
      <w:pPr>
        <w:spacing w:line="360" w:lineRule="auto"/>
        <w:ind w:right="561"/>
        <w:rPr>
          <w:rFonts w:hint="eastAsia" w:ascii="仿宋" w:hAnsi="仿宋" w:eastAsia="仿宋" w:cs="仿宋"/>
          <w:sz w:val="21"/>
          <w:szCs w:val="21"/>
        </w:rPr>
      </w:pPr>
    </w:p>
    <w:p>
      <w:pPr>
        <w:spacing w:line="360" w:lineRule="auto"/>
        <w:ind w:firstLine="562" w:firstLineChars="200"/>
        <w:outlineLvl w:val="2"/>
        <w:rPr>
          <w:rFonts w:hint="eastAsia" w:ascii="仿宋" w:hAnsi="仿宋" w:eastAsia="仿宋" w:cs="仿宋"/>
          <w:b/>
          <w:bCs/>
          <w:color w:val="000000"/>
          <w:kern w:val="0"/>
          <w:sz w:val="28"/>
          <w:szCs w:val="28"/>
          <w:u w:color="000000"/>
          <w:lang w:val="en-US" w:eastAsia="zh-CN" w:bidi="ar-SA"/>
        </w:rPr>
      </w:pPr>
      <w:bookmarkStart w:id="10" w:name="_Toc92293419"/>
      <w:r>
        <w:rPr>
          <w:rFonts w:hint="eastAsia" w:ascii="仿宋" w:hAnsi="仿宋" w:eastAsia="仿宋" w:cs="仿宋"/>
          <w:b/>
          <w:bCs/>
          <w:color w:val="000000"/>
          <w:kern w:val="0"/>
          <w:sz w:val="28"/>
          <w:szCs w:val="28"/>
          <w:u w:color="000000"/>
          <w:lang w:val="en-US" w:eastAsia="zh-CN" w:bidi="ar-SA"/>
        </w:rPr>
        <w:t>1.2.5主要辅助设备</w:t>
      </w:r>
      <w:bookmarkEnd w:id="10"/>
    </w:p>
    <w:tbl>
      <w:tblPr>
        <w:tblStyle w:val="16"/>
        <w:tblW w:w="84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1988"/>
        <w:gridCol w:w="1254"/>
        <w:gridCol w:w="1081"/>
        <w:gridCol w:w="1107"/>
        <w:gridCol w:w="30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交流油泵</w:t>
            </w: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型  号</w:t>
            </w:r>
          </w:p>
        </w:tc>
        <w:tc>
          <w:tcPr>
            <w:tcW w:w="1107" w:type="dxa"/>
            <w:vAlign w:val="center"/>
          </w:tcPr>
          <w:p>
            <w:pPr>
              <w:spacing w:line="360" w:lineRule="auto"/>
              <w:jc w:val="center"/>
              <w:rPr>
                <w:rFonts w:hint="eastAsia" w:ascii="仿宋" w:hAnsi="仿宋" w:eastAsia="仿宋" w:cs="仿宋"/>
                <w:color w:val="000000"/>
                <w:sz w:val="21"/>
                <w:szCs w:val="21"/>
              </w:rPr>
            </w:pPr>
          </w:p>
        </w:tc>
        <w:tc>
          <w:tcPr>
            <w:tcW w:w="3031" w:type="dxa"/>
            <w:vAlign w:val="center"/>
          </w:tcPr>
          <w:p>
            <w:pPr>
              <w:spacing w:line="360" w:lineRule="auto"/>
              <w:jc w:val="center"/>
              <w:rPr>
                <w:rFonts w:hint="eastAsia" w:ascii="仿宋" w:hAnsi="仿宋" w:eastAsia="仿宋" w:cs="仿宋"/>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数  量</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流  量</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L/h</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压  力</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1254" w:type="dxa"/>
            <w:vMerge w:val="restart"/>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电  机</w:t>
            </w:r>
          </w:p>
        </w:tc>
        <w:tc>
          <w:tcPr>
            <w:tcW w:w="1081"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功  率</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KW</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1254" w:type="dxa"/>
            <w:vMerge w:val="continue"/>
            <w:vAlign w:val="center"/>
          </w:tcPr>
          <w:p>
            <w:pPr>
              <w:spacing w:line="360" w:lineRule="auto"/>
              <w:rPr>
                <w:rFonts w:hint="eastAsia" w:ascii="仿宋" w:hAnsi="仿宋" w:eastAsia="仿宋" w:cs="仿宋"/>
                <w:color w:val="000000"/>
                <w:sz w:val="21"/>
                <w:szCs w:val="21"/>
              </w:rPr>
            </w:pPr>
          </w:p>
        </w:tc>
        <w:tc>
          <w:tcPr>
            <w:tcW w:w="1081"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电  压</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V</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380（AC）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冷油器</w:t>
            </w: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型  号</w:t>
            </w:r>
          </w:p>
        </w:tc>
        <w:tc>
          <w:tcPr>
            <w:tcW w:w="1107" w:type="dxa"/>
            <w:vAlign w:val="center"/>
          </w:tcPr>
          <w:p>
            <w:pPr>
              <w:spacing w:line="360" w:lineRule="auto"/>
              <w:jc w:val="center"/>
              <w:rPr>
                <w:rFonts w:hint="eastAsia" w:ascii="仿宋" w:hAnsi="仿宋" w:eastAsia="仿宋" w:cs="仿宋"/>
                <w:color w:val="000000"/>
                <w:sz w:val="21"/>
                <w:szCs w:val="21"/>
              </w:rPr>
            </w:pP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sz w:val="21"/>
                <w:szCs w:val="21"/>
              </w:rPr>
              <w:t>1-7602-0012-0000-11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形  式</w:t>
            </w:r>
          </w:p>
        </w:tc>
        <w:tc>
          <w:tcPr>
            <w:tcW w:w="1107" w:type="dxa"/>
            <w:vAlign w:val="center"/>
          </w:tcPr>
          <w:p>
            <w:pPr>
              <w:spacing w:line="360" w:lineRule="auto"/>
              <w:jc w:val="center"/>
              <w:rPr>
                <w:rFonts w:hint="eastAsia" w:ascii="仿宋" w:hAnsi="仿宋" w:eastAsia="仿宋" w:cs="仿宋"/>
                <w:color w:val="000000"/>
                <w:sz w:val="21"/>
                <w:szCs w:val="21"/>
              </w:rPr>
            </w:pP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管式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数  量</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冷却面积</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m </w:t>
            </w:r>
            <w:r>
              <w:rPr>
                <w:rFonts w:hint="eastAsia" w:ascii="仿宋" w:hAnsi="仿宋" w:eastAsia="仿宋" w:cs="仿宋"/>
                <w:color w:val="000000"/>
                <w:sz w:val="21"/>
                <w:szCs w:val="21"/>
                <w:vertAlign w:val="superscript"/>
              </w:rPr>
              <w:t>2</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tcBorders>
              <w:bottom w:val="single" w:color="auto" w:sz="6" w:space="0"/>
            </w:tcBorders>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冷却水量</w:t>
            </w:r>
          </w:p>
        </w:tc>
        <w:tc>
          <w:tcPr>
            <w:tcW w:w="1107" w:type="dxa"/>
            <w:tcBorders>
              <w:bottom w:val="single" w:color="auto" w:sz="6" w:space="0"/>
            </w:tcBorders>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t/h</w:t>
            </w:r>
          </w:p>
        </w:tc>
        <w:tc>
          <w:tcPr>
            <w:tcW w:w="3031" w:type="dxa"/>
            <w:tcBorders>
              <w:bottom w:val="single" w:color="auto" w:sz="6" w:space="0"/>
            </w:tcBorders>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tcBorders>
              <w:bottom w:val="single" w:color="auto" w:sz="6" w:space="0"/>
            </w:tcBorders>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冷却水温</w:t>
            </w:r>
          </w:p>
        </w:tc>
        <w:tc>
          <w:tcPr>
            <w:tcW w:w="1107" w:type="dxa"/>
            <w:tcBorders>
              <w:bottom w:val="single" w:color="auto" w:sz="6" w:space="0"/>
            </w:tcBorders>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3031" w:type="dxa"/>
            <w:tcBorders>
              <w:bottom w:val="single" w:color="auto" w:sz="6" w:space="0"/>
            </w:tcBorders>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tcBorders>
              <w:bottom w:val="single" w:color="auto" w:sz="6" w:space="0"/>
            </w:tcBorders>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水  阻</w:t>
            </w:r>
          </w:p>
        </w:tc>
        <w:tc>
          <w:tcPr>
            <w:tcW w:w="1107" w:type="dxa"/>
            <w:tcBorders>
              <w:bottom w:val="single" w:color="auto" w:sz="6" w:space="0"/>
            </w:tcBorders>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w:t>
            </w:r>
          </w:p>
        </w:tc>
        <w:tc>
          <w:tcPr>
            <w:tcW w:w="3031" w:type="dxa"/>
            <w:tcBorders>
              <w:bottom w:val="single" w:color="auto" w:sz="6" w:space="0"/>
            </w:tcBorders>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tcBorders>
              <w:bottom w:val="single" w:color="auto" w:sz="6" w:space="0"/>
            </w:tcBorders>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油  阻</w:t>
            </w:r>
          </w:p>
        </w:tc>
        <w:tc>
          <w:tcPr>
            <w:tcW w:w="1107" w:type="dxa"/>
            <w:tcBorders>
              <w:bottom w:val="single" w:color="auto" w:sz="6" w:space="0"/>
            </w:tcBorders>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w:t>
            </w:r>
          </w:p>
        </w:tc>
        <w:tc>
          <w:tcPr>
            <w:tcW w:w="3031" w:type="dxa"/>
            <w:tcBorders>
              <w:bottom w:val="single" w:color="auto" w:sz="6" w:space="0"/>
            </w:tcBorders>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直流齿轮</w:t>
            </w:r>
          </w:p>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润滑油泵</w:t>
            </w: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型  号</w:t>
            </w:r>
          </w:p>
        </w:tc>
        <w:tc>
          <w:tcPr>
            <w:tcW w:w="1107" w:type="dxa"/>
            <w:vAlign w:val="center"/>
          </w:tcPr>
          <w:p>
            <w:pPr>
              <w:spacing w:line="360" w:lineRule="auto"/>
              <w:jc w:val="center"/>
              <w:rPr>
                <w:rFonts w:hint="eastAsia" w:ascii="仿宋" w:hAnsi="仿宋" w:eastAsia="仿宋" w:cs="仿宋"/>
                <w:color w:val="000000"/>
                <w:sz w:val="21"/>
                <w:szCs w:val="21"/>
              </w:rPr>
            </w:pP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KCB-135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数  量</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流  量</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L/h</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压  力</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Mpa</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1254" w:type="dxa"/>
            <w:vMerge w:val="restart"/>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电  机</w:t>
            </w:r>
          </w:p>
        </w:tc>
        <w:tc>
          <w:tcPr>
            <w:tcW w:w="1081"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功  率</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KW</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1254" w:type="dxa"/>
            <w:vMerge w:val="continue"/>
            <w:vAlign w:val="center"/>
          </w:tcPr>
          <w:p>
            <w:pPr>
              <w:spacing w:line="360" w:lineRule="auto"/>
              <w:rPr>
                <w:rFonts w:hint="eastAsia" w:ascii="仿宋" w:hAnsi="仿宋" w:eastAsia="仿宋" w:cs="仿宋"/>
                <w:color w:val="000000"/>
                <w:sz w:val="21"/>
                <w:szCs w:val="21"/>
              </w:rPr>
            </w:pPr>
          </w:p>
        </w:tc>
        <w:tc>
          <w:tcPr>
            <w:tcW w:w="1081" w:type="dxa"/>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电  压</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V</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220（DC）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凝 汽 器</w:t>
            </w:r>
          </w:p>
        </w:tc>
        <w:tc>
          <w:tcPr>
            <w:tcW w:w="2335" w:type="dxa"/>
            <w:gridSpan w:val="2"/>
          </w:tcPr>
          <w:p>
            <w:pPr>
              <w:spacing w:line="360" w:lineRule="auto"/>
              <w:rPr>
                <w:rFonts w:hint="eastAsia" w:ascii="仿宋" w:hAnsi="仿宋" w:eastAsia="仿宋" w:cs="仿宋"/>
                <w:position w:val="-34"/>
                <w:sz w:val="21"/>
                <w:szCs w:val="21"/>
              </w:rPr>
            </w:pPr>
            <w:r>
              <w:rPr>
                <w:rFonts w:hint="eastAsia" w:ascii="仿宋" w:hAnsi="仿宋" w:eastAsia="仿宋" w:cs="仿宋"/>
                <w:position w:val="-34"/>
                <w:sz w:val="21"/>
                <w:szCs w:val="21"/>
              </w:rPr>
              <w:t>型  号</w:t>
            </w:r>
          </w:p>
        </w:tc>
        <w:tc>
          <w:tcPr>
            <w:tcW w:w="1107" w:type="dxa"/>
          </w:tcPr>
          <w:p>
            <w:pPr>
              <w:spacing w:line="360" w:lineRule="auto"/>
              <w:jc w:val="center"/>
              <w:rPr>
                <w:rFonts w:hint="eastAsia" w:ascii="仿宋" w:hAnsi="仿宋" w:eastAsia="仿宋" w:cs="仿宋"/>
                <w:position w:val="-34"/>
                <w:sz w:val="21"/>
                <w:szCs w:val="21"/>
              </w:rPr>
            </w:pPr>
          </w:p>
        </w:tc>
        <w:tc>
          <w:tcPr>
            <w:tcW w:w="3031"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N-420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jc w:val="center"/>
              <w:rPr>
                <w:rFonts w:hint="eastAsia" w:ascii="仿宋" w:hAnsi="仿宋" w:eastAsia="仿宋" w:cs="仿宋"/>
                <w:color w:val="000000"/>
                <w:sz w:val="21"/>
                <w:szCs w:val="21"/>
              </w:rPr>
            </w:pPr>
          </w:p>
        </w:tc>
        <w:tc>
          <w:tcPr>
            <w:tcW w:w="2335" w:type="dxa"/>
            <w:gridSpan w:val="2"/>
          </w:tcPr>
          <w:p>
            <w:pPr>
              <w:spacing w:line="360" w:lineRule="auto"/>
              <w:rPr>
                <w:rFonts w:hint="eastAsia" w:ascii="仿宋" w:hAnsi="仿宋" w:eastAsia="仿宋" w:cs="仿宋"/>
                <w:color w:val="000000"/>
                <w:sz w:val="21"/>
                <w:szCs w:val="21"/>
              </w:rPr>
            </w:pPr>
            <w:r>
              <w:rPr>
                <w:rFonts w:hint="eastAsia" w:ascii="仿宋" w:hAnsi="仿宋" w:eastAsia="仿宋" w:cs="仿宋"/>
                <w:position w:val="-34"/>
                <w:sz w:val="21"/>
                <w:szCs w:val="21"/>
              </w:rPr>
              <w:t>型  式</w:t>
            </w:r>
          </w:p>
        </w:tc>
        <w:tc>
          <w:tcPr>
            <w:tcW w:w="1107" w:type="dxa"/>
          </w:tcPr>
          <w:p>
            <w:pPr>
              <w:spacing w:line="360" w:lineRule="auto"/>
              <w:jc w:val="center"/>
              <w:rPr>
                <w:rFonts w:hint="eastAsia" w:ascii="仿宋" w:hAnsi="仿宋" w:eastAsia="仿宋" w:cs="仿宋"/>
                <w:color w:val="000000"/>
                <w:position w:val="-34"/>
                <w:sz w:val="21"/>
                <w:szCs w:val="21"/>
              </w:rPr>
            </w:pPr>
          </w:p>
        </w:tc>
        <w:tc>
          <w:tcPr>
            <w:tcW w:w="3031"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四流程单道制表面式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jc w:val="center"/>
              <w:rPr>
                <w:rFonts w:hint="eastAsia" w:ascii="仿宋" w:hAnsi="仿宋" w:eastAsia="仿宋" w:cs="仿宋"/>
                <w:color w:val="000000"/>
                <w:sz w:val="21"/>
                <w:szCs w:val="21"/>
              </w:rPr>
            </w:pPr>
          </w:p>
        </w:tc>
        <w:tc>
          <w:tcPr>
            <w:tcW w:w="2335" w:type="dxa"/>
            <w:gridSpan w:val="2"/>
          </w:tcPr>
          <w:p>
            <w:pPr>
              <w:spacing w:line="360" w:lineRule="auto"/>
              <w:rPr>
                <w:rFonts w:hint="eastAsia" w:ascii="仿宋" w:hAnsi="仿宋" w:eastAsia="仿宋" w:cs="仿宋"/>
                <w:color w:val="000000"/>
                <w:sz w:val="21"/>
                <w:szCs w:val="21"/>
              </w:rPr>
            </w:pPr>
            <w:r>
              <w:rPr>
                <w:rFonts w:hint="eastAsia" w:ascii="仿宋" w:hAnsi="仿宋" w:eastAsia="仿宋" w:cs="仿宋"/>
                <w:position w:val="-34"/>
                <w:sz w:val="21"/>
                <w:szCs w:val="21"/>
              </w:rPr>
              <w:t>冷却面积</w:t>
            </w:r>
          </w:p>
        </w:tc>
        <w:tc>
          <w:tcPr>
            <w:tcW w:w="1107"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position w:val="-34"/>
                <w:sz w:val="21"/>
                <w:szCs w:val="21"/>
              </w:rPr>
              <w:t>m</w:t>
            </w:r>
            <w:r>
              <w:rPr>
                <w:rFonts w:hint="eastAsia" w:ascii="仿宋" w:hAnsi="仿宋" w:eastAsia="仿宋" w:cs="仿宋"/>
                <w:position w:val="-34"/>
                <w:sz w:val="21"/>
                <w:szCs w:val="21"/>
                <w:vertAlign w:val="superscript"/>
              </w:rPr>
              <w:t>2</w:t>
            </w:r>
          </w:p>
        </w:tc>
        <w:tc>
          <w:tcPr>
            <w:tcW w:w="3031"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420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jc w:val="center"/>
              <w:rPr>
                <w:rFonts w:hint="eastAsia" w:ascii="仿宋" w:hAnsi="仿宋" w:eastAsia="仿宋" w:cs="仿宋"/>
                <w:color w:val="000000"/>
                <w:sz w:val="21"/>
                <w:szCs w:val="21"/>
              </w:rPr>
            </w:pPr>
          </w:p>
        </w:tc>
        <w:tc>
          <w:tcPr>
            <w:tcW w:w="2335" w:type="dxa"/>
            <w:gridSpan w:val="2"/>
          </w:tcPr>
          <w:p>
            <w:pPr>
              <w:spacing w:line="360" w:lineRule="auto"/>
              <w:rPr>
                <w:rFonts w:hint="eastAsia" w:ascii="仿宋" w:hAnsi="仿宋" w:eastAsia="仿宋" w:cs="仿宋"/>
                <w:color w:val="000000"/>
                <w:sz w:val="21"/>
                <w:szCs w:val="21"/>
              </w:rPr>
            </w:pPr>
            <w:r>
              <w:rPr>
                <w:rFonts w:hint="eastAsia" w:ascii="仿宋" w:hAnsi="仿宋" w:eastAsia="仿宋" w:cs="仿宋"/>
                <w:position w:val="-34"/>
                <w:sz w:val="21"/>
                <w:szCs w:val="21"/>
              </w:rPr>
              <w:t>蒸汽压力</w:t>
            </w:r>
          </w:p>
        </w:tc>
        <w:tc>
          <w:tcPr>
            <w:tcW w:w="1107"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position w:val="-34"/>
                <w:sz w:val="21"/>
                <w:szCs w:val="21"/>
              </w:rPr>
              <w:t>Mpa</w:t>
            </w:r>
          </w:p>
        </w:tc>
        <w:tc>
          <w:tcPr>
            <w:tcW w:w="3031"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 xml:space="preserve">           0.01    （绝对）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jc w:val="center"/>
              <w:rPr>
                <w:rFonts w:hint="eastAsia" w:ascii="仿宋" w:hAnsi="仿宋" w:eastAsia="仿宋" w:cs="仿宋"/>
                <w:color w:val="000000"/>
                <w:sz w:val="21"/>
                <w:szCs w:val="21"/>
              </w:rPr>
            </w:pPr>
          </w:p>
        </w:tc>
        <w:tc>
          <w:tcPr>
            <w:tcW w:w="2335" w:type="dxa"/>
            <w:gridSpan w:val="2"/>
          </w:tcPr>
          <w:p>
            <w:pPr>
              <w:spacing w:line="360" w:lineRule="auto"/>
              <w:rPr>
                <w:rFonts w:hint="eastAsia" w:ascii="仿宋" w:hAnsi="仿宋" w:eastAsia="仿宋" w:cs="仿宋"/>
                <w:color w:val="000000"/>
                <w:sz w:val="21"/>
                <w:szCs w:val="21"/>
              </w:rPr>
            </w:pPr>
            <w:r>
              <w:rPr>
                <w:rFonts w:hint="eastAsia" w:ascii="仿宋" w:hAnsi="仿宋" w:eastAsia="仿宋" w:cs="仿宋"/>
                <w:position w:val="-34"/>
                <w:sz w:val="21"/>
                <w:szCs w:val="21"/>
              </w:rPr>
              <w:t>蒸汽流量</w:t>
            </w:r>
          </w:p>
        </w:tc>
        <w:tc>
          <w:tcPr>
            <w:tcW w:w="1107"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position w:val="-34"/>
                <w:sz w:val="21"/>
                <w:szCs w:val="21"/>
              </w:rPr>
              <w:t>t/h</w:t>
            </w:r>
          </w:p>
        </w:tc>
        <w:tc>
          <w:tcPr>
            <w:tcW w:w="3031"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6"/>
                <w:sz w:val="21"/>
                <w:szCs w:val="21"/>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shd w:val="clear" w:color="auto" w:fill="auto"/>
          </w:tcPr>
          <w:p>
            <w:pPr>
              <w:spacing w:line="360" w:lineRule="auto"/>
              <w:jc w:val="center"/>
              <w:rPr>
                <w:rFonts w:hint="eastAsia" w:ascii="仿宋" w:hAnsi="仿宋" w:eastAsia="仿宋" w:cs="仿宋"/>
                <w:color w:val="000000"/>
                <w:sz w:val="21"/>
                <w:szCs w:val="21"/>
              </w:rPr>
            </w:pPr>
          </w:p>
        </w:tc>
        <w:tc>
          <w:tcPr>
            <w:tcW w:w="2335" w:type="dxa"/>
            <w:gridSpan w:val="2"/>
            <w:shd w:val="clear" w:color="auto" w:fill="auto"/>
          </w:tcPr>
          <w:p>
            <w:pPr>
              <w:spacing w:line="360" w:lineRule="auto"/>
              <w:rPr>
                <w:rFonts w:hint="eastAsia" w:ascii="仿宋" w:hAnsi="仿宋" w:eastAsia="仿宋" w:cs="仿宋"/>
                <w:color w:val="000000"/>
                <w:sz w:val="21"/>
                <w:szCs w:val="21"/>
              </w:rPr>
            </w:pPr>
            <w:r>
              <w:rPr>
                <w:rFonts w:hint="eastAsia" w:ascii="仿宋" w:hAnsi="仿宋" w:eastAsia="仿宋" w:cs="仿宋"/>
                <w:position w:val="-34"/>
                <w:sz w:val="21"/>
                <w:szCs w:val="21"/>
              </w:rPr>
              <w:t>冷却水量</w:t>
            </w:r>
          </w:p>
        </w:tc>
        <w:tc>
          <w:tcPr>
            <w:tcW w:w="1107" w:type="dxa"/>
          </w:tcPr>
          <w:p>
            <w:pPr>
              <w:spacing w:line="360" w:lineRule="auto"/>
              <w:jc w:val="center"/>
              <w:rPr>
                <w:rFonts w:hint="eastAsia" w:ascii="仿宋" w:hAnsi="仿宋" w:eastAsia="仿宋" w:cs="仿宋"/>
                <w:color w:val="000000"/>
                <w:sz w:val="21"/>
                <w:szCs w:val="21"/>
              </w:rPr>
            </w:pPr>
            <w:r>
              <w:rPr>
                <w:rFonts w:hint="eastAsia" w:ascii="仿宋" w:hAnsi="仿宋" w:eastAsia="仿宋" w:cs="仿宋"/>
                <w:position w:val="-34"/>
                <w:sz w:val="21"/>
                <w:szCs w:val="21"/>
              </w:rPr>
              <w:t>t/h</w:t>
            </w:r>
          </w:p>
        </w:tc>
        <w:tc>
          <w:tcPr>
            <w:tcW w:w="3031"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shd w:val="clear" w:color="auto" w:fill="auto"/>
          </w:tcPr>
          <w:p>
            <w:pPr>
              <w:spacing w:line="360" w:lineRule="auto"/>
              <w:jc w:val="center"/>
              <w:rPr>
                <w:rFonts w:hint="eastAsia" w:ascii="仿宋" w:hAnsi="仿宋" w:eastAsia="仿宋" w:cs="仿宋"/>
                <w:color w:val="000000"/>
                <w:sz w:val="21"/>
                <w:szCs w:val="21"/>
              </w:rPr>
            </w:pPr>
          </w:p>
        </w:tc>
        <w:tc>
          <w:tcPr>
            <w:tcW w:w="2335" w:type="dxa"/>
            <w:gridSpan w:val="2"/>
            <w:shd w:val="clear" w:color="auto" w:fill="auto"/>
          </w:tcPr>
          <w:p>
            <w:pPr>
              <w:spacing w:line="360" w:lineRule="auto"/>
              <w:rPr>
                <w:rFonts w:hint="eastAsia" w:ascii="仿宋" w:hAnsi="仿宋" w:eastAsia="仿宋" w:cs="仿宋"/>
                <w:color w:val="000000"/>
                <w:sz w:val="21"/>
                <w:szCs w:val="21"/>
              </w:rPr>
            </w:pPr>
            <w:r>
              <w:rPr>
                <w:rFonts w:hint="eastAsia" w:ascii="仿宋" w:hAnsi="仿宋" w:eastAsia="仿宋" w:cs="仿宋"/>
                <w:position w:val="-34"/>
                <w:sz w:val="21"/>
                <w:szCs w:val="21"/>
              </w:rPr>
              <w:t>冷却水温</w:t>
            </w:r>
          </w:p>
        </w:tc>
        <w:tc>
          <w:tcPr>
            <w:tcW w:w="1107" w:type="dxa"/>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position w:val="-34"/>
                <w:sz w:val="21"/>
                <w:szCs w:val="21"/>
              </w:rPr>
              <w:t>℃</w:t>
            </w:r>
          </w:p>
        </w:tc>
        <w:tc>
          <w:tcPr>
            <w:tcW w:w="3031"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28～33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rPr>
                <w:rFonts w:hint="eastAsia" w:ascii="仿宋" w:hAnsi="仿宋" w:eastAsia="仿宋" w:cs="仿宋"/>
                <w:position w:val="-34"/>
                <w:sz w:val="21"/>
                <w:szCs w:val="21"/>
              </w:rPr>
            </w:pPr>
          </w:p>
        </w:tc>
        <w:tc>
          <w:tcPr>
            <w:tcW w:w="2335" w:type="dxa"/>
            <w:gridSpan w:val="2"/>
          </w:tcPr>
          <w:p>
            <w:pPr>
              <w:spacing w:line="360" w:lineRule="auto"/>
              <w:rPr>
                <w:rFonts w:hint="eastAsia" w:ascii="仿宋" w:hAnsi="仿宋" w:eastAsia="仿宋" w:cs="仿宋"/>
                <w:color w:val="000000"/>
                <w:position w:val="-34"/>
                <w:sz w:val="21"/>
                <w:szCs w:val="21"/>
              </w:rPr>
            </w:pPr>
            <w:r>
              <w:rPr>
                <w:rFonts w:hint="eastAsia" w:ascii="仿宋" w:hAnsi="仿宋" w:eastAsia="仿宋" w:cs="仿宋"/>
                <w:position w:val="-34"/>
                <w:sz w:val="21"/>
                <w:szCs w:val="21"/>
              </w:rPr>
              <w:t>水  阻</w:t>
            </w:r>
          </w:p>
        </w:tc>
        <w:tc>
          <w:tcPr>
            <w:tcW w:w="1107"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m</w:t>
            </w:r>
          </w:p>
        </w:tc>
        <w:tc>
          <w:tcPr>
            <w:tcW w:w="3031"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rPr>
                <w:rFonts w:hint="eastAsia" w:ascii="仿宋" w:hAnsi="仿宋" w:eastAsia="仿宋" w:cs="仿宋"/>
                <w:position w:val="-34"/>
                <w:sz w:val="21"/>
                <w:szCs w:val="21"/>
              </w:rPr>
            </w:pPr>
          </w:p>
        </w:tc>
        <w:tc>
          <w:tcPr>
            <w:tcW w:w="2335" w:type="dxa"/>
            <w:gridSpan w:val="2"/>
          </w:tcPr>
          <w:p>
            <w:pPr>
              <w:spacing w:line="360" w:lineRule="auto"/>
              <w:rPr>
                <w:rFonts w:hint="eastAsia" w:ascii="仿宋" w:hAnsi="仿宋" w:eastAsia="仿宋" w:cs="仿宋"/>
                <w:position w:val="-34"/>
                <w:sz w:val="21"/>
                <w:szCs w:val="21"/>
              </w:rPr>
            </w:pPr>
            <w:r>
              <w:rPr>
                <w:rFonts w:hint="eastAsia" w:ascii="仿宋" w:hAnsi="仿宋" w:eastAsia="仿宋" w:cs="仿宋"/>
                <w:position w:val="-34"/>
                <w:sz w:val="21"/>
                <w:szCs w:val="21"/>
              </w:rPr>
              <w:t>水侧设计压力</w:t>
            </w:r>
          </w:p>
        </w:tc>
        <w:tc>
          <w:tcPr>
            <w:tcW w:w="1107" w:type="dxa"/>
          </w:tcPr>
          <w:p>
            <w:pPr>
              <w:spacing w:line="360" w:lineRule="auto"/>
              <w:jc w:val="center"/>
              <w:rPr>
                <w:rFonts w:hint="eastAsia" w:ascii="仿宋" w:hAnsi="仿宋" w:eastAsia="仿宋" w:cs="仿宋"/>
                <w:color w:val="000000"/>
                <w:position w:val="-36"/>
                <w:sz w:val="21"/>
                <w:szCs w:val="21"/>
              </w:rPr>
            </w:pPr>
            <w:r>
              <w:rPr>
                <w:rFonts w:hint="eastAsia" w:ascii="仿宋" w:hAnsi="仿宋" w:eastAsia="仿宋" w:cs="仿宋"/>
                <w:position w:val="-34"/>
                <w:sz w:val="21"/>
                <w:szCs w:val="21"/>
              </w:rPr>
              <w:t>Mpa</w:t>
            </w:r>
          </w:p>
        </w:tc>
        <w:tc>
          <w:tcPr>
            <w:tcW w:w="3031"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rPr>
                <w:rFonts w:hint="eastAsia" w:ascii="仿宋" w:hAnsi="仿宋" w:eastAsia="仿宋" w:cs="仿宋"/>
                <w:position w:val="-34"/>
                <w:sz w:val="21"/>
                <w:szCs w:val="21"/>
              </w:rPr>
            </w:pPr>
          </w:p>
        </w:tc>
        <w:tc>
          <w:tcPr>
            <w:tcW w:w="2335" w:type="dxa"/>
            <w:gridSpan w:val="2"/>
          </w:tcPr>
          <w:p>
            <w:pPr>
              <w:spacing w:line="360" w:lineRule="auto"/>
              <w:rPr>
                <w:rFonts w:hint="eastAsia" w:ascii="仿宋" w:hAnsi="仿宋" w:eastAsia="仿宋" w:cs="仿宋"/>
                <w:position w:val="-34"/>
                <w:sz w:val="21"/>
                <w:szCs w:val="21"/>
              </w:rPr>
            </w:pPr>
            <w:r>
              <w:rPr>
                <w:rFonts w:hint="eastAsia" w:ascii="仿宋" w:hAnsi="仿宋" w:eastAsia="仿宋" w:cs="仿宋"/>
                <w:position w:val="-34"/>
                <w:sz w:val="21"/>
                <w:szCs w:val="21"/>
              </w:rPr>
              <w:t>管子材料</w:t>
            </w:r>
          </w:p>
        </w:tc>
        <w:tc>
          <w:tcPr>
            <w:tcW w:w="1107" w:type="dxa"/>
          </w:tcPr>
          <w:p>
            <w:pPr>
              <w:spacing w:line="360" w:lineRule="auto"/>
              <w:jc w:val="center"/>
              <w:rPr>
                <w:rFonts w:hint="eastAsia" w:ascii="仿宋" w:hAnsi="仿宋" w:eastAsia="仿宋" w:cs="仿宋"/>
                <w:color w:val="000000"/>
                <w:position w:val="-36"/>
                <w:sz w:val="21"/>
                <w:szCs w:val="21"/>
              </w:rPr>
            </w:pPr>
          </w:p>
        </w:tc>
        <w:tc>
          <w:tcPr>
            <w:tcW w:w="3031" w:type="dxa"/>
          </w:tcPr>
          <w:p>
            <w:pPr>
              <w:spacing w:line="360" w:lineRule="auto"/>
              <w:jc w:val="center"/>
              <w:rPr>
                <w:rFonts w:hint="eastAsia" w:ascii="仿宋" w:hAnsi="仿宋" w:eastAsia="仿宋" w:cs="仿宋"/>
                <w:color w:val="000000"/>
                <w:position w:val="-34"/>
                <w:sz w:val="21"/>
                <w:szCs w:val="21"/>
              </w:rPr>
            </w:pPr>
            <w:r>
              <w:rPr>
                <w:rFonts w:hint="eastAsia" w:ascii="仿宋" w:hAnsi="仿宋" w:eastAsia="仿宋" w:cs="仿宋"/>
                <w:color w:val="000000"/>
                <w:position w:val="-34"/>
                <w:sz w:val="21"/>
                <w:szCs w:val="21"/>
              </w:rPr>
              <w:t>0Cr18Ni9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jc w:val="center"/>
              <w:rPr>
                <w:rFonts w:hint="eastAsia" w:ascii="仿宋" w:hAnsi="仿宋" w:eastAsia="仿宋" w:cs="仿宋"/>
                <w:position w:val="-34"/>
                <w:sz w:val="21"/>
                <w:szCs w:val="21"/>
              </w:rPr>
            </w:pPr>
          </w:p>
        </w:tc>
        <w:tc>
          <w:tcPr>
            <w:tcW w:w="2335" w:type="dxa"/>
            <w:gridSpan w:val="2"/>
          </w:tcPr>
          <w:p>
            <w:pPr>
              <w:spacing w:line="360" w:lineRule="auto"/>
              <w:rPr>
                <w:rFonts w:hint="eastAsia" w:ascii="仿宋" w:hAnsi="仿宋" w:eastAsia="仿宋" w:cs="仿宋"/>
                <w:position w:val="-34"/>
                <w:sz w:val="21"/>
                <w:szCs w:val="21"/>
              </w:rPr>
            </w:pPr>
            <w:r>
              <w:rPr>
                <w:rFonts w:hint="eastAsia" w:ascii="仿宋" w:hAnsi="仿宋" w:eastAsia="仿宋" w:cs="仿宋"/>
                <w:position w:val="-34"/>
                <w:sz w:val="21"/>
                <w:szCs w:val="21"/>
              </w:rPr>
              <w:t>无水时净重</w:t>
            </w:r>
          </w:p>
        </w:tc>
        <w:tc>
          <w:tcPr>
            <w:tcW w:w="1107"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t</w:t>
            </w:r>
          </w:p>
        </w:tc>
        <w:tc>
          <w:tcPr>
            <w:tcW w:w="3031" w:type="dxa"/>
          </w:tcPr>
          <w:p>
            <w:pPr>
              <w:spacing w:line="360" w:lineRule="auto"/>
              <w:jc w:val="center"/>
              <w:rPr>
                <w:rFonts w:hint="eastAsia" w:ascii="仿宋" w:hAnsi="仿宋" w:eastAsia="仿宋" w:cs="仿宋"/>
                <w:color w:val="000000"/>
                <w:position w:val="-36"/>
                <w:sz w:val="21"/>
                <w:szCs w:val="21"/>
              </w:rPr>
            </w:pPr>
            <w:r>
              <w:rPr>
                <w:rFonts w:hint="eastAsia" w:ascii="仿宋" w:hAnsi="仿宋" w:eastAsia="仿宋" w:cs="仿宋"/>
                <w:color w:val="000000"/>
                <w:position w:val="-34"/>
                <w:sz w:val="21"/>
                <w:szCs w:val="21"/>
              </w:rPr>
              <w:t>～10.47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油箱电加热器</w:t>
            </w: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型  号</w:t>
            </w:r>
          </w:p>
        </w:tc>
        <w:tc>
          <w:tcPr>
            <w:tcW w:w="1107" w:type="dxa"/>
            <w:vAlign w:val="center"/>
          </w:tcPr>
          <w:p>
            <w:pPr>
              <w:spacing w:line="360" w:lineRule="auto"/>
              <w:jc w:val="center"/>
              <w:rPr>
                <w:rFonts w:hint="eastAsia" w:ascii="仿宋" w:hAnsi="仿宋" w:eastAsia="仿宋" w:cs="仿宋"/>
                <w:color w:val="000000"/>
                <w:sz w:val="21"/>
                <w:szCs w:val="21"/>
              </w:rPr>
            </w:pPr>
          </w:p>
        </w:tc>
        <w:tc>
          <w:tcPr>
            <w:tcW w:w="3031"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GYY4-220/8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数  量</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功  率</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KW</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电  压</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V</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220（AC）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蓄能器</w:t>
            </w: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型  号</w:t>
            </w:r>
          </w:p>
        </w:tc>
        <w:tc>
          <w:tcPr>
            <w:tcW w:w="1107" w:type="dxa"/>
            <w:vAlign w:val="center"/>
          </w:tcPr>
          <w:p>
            <w:pPr>
              <w:spacing w:line="360" w:lineRule="auto"/>
              <w:jc w:val="center"/>
              <w:rPr>
                <w:rFonts w:hint="eastAsia" w:ascii="仿宋" w:hAnsi="仿宋" w:eastAsia="仿宋" w:cs="仿宋"/>
                <w:color w:val="000000"/>
                <w:sz w:val="21"/>
                <w:szCs w:val="21"/>
              </w:rPr>
            </w:pP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NXQA-25/10-L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vAlign w:val="center"/>
          </w:tcPr>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数  量</w:t>
            </w:r>
          </w:p>
        </w:tc>
        <w:tc>
          <w:tcPr>
            <w:tcW w:w="1107"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c>
          <w:tcPr>
            <w:tcW w:w="3031" w:type="dxa"/>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tcPr>
          <w:p>
            <w:pPr>
              <w:spacing w:line="360" w:lineRule="auto"/>
              <w:rPr>
                <w:rFonts w:hint="eastAsia" w:ascii="仿宋" w:hAnsi="仿宋" w:eastAsia="仿宋" w:cs="仿宋"/>
                <w:position w:val="-34"/>
                <w:sz w:val="21"/>
                <w:szCs w:val="21"/>
              </w:rPr>
            </w:pPr>
            <w:r>
              <w:rPr>
                <w:rFonts w:hint="eastAsia" w:ascii="仿宋" w:hAnsi="仿宋" w:eastAsia="仿宋" w:cs="仿宋"/>
                <w:position w:val="-34"/>
                <w:sz w:val="21"/>
                <w:szCs w:val="21"/>
              </w:rPr>
              <w:t>公称容积</w:t>
            </w:r>
          </w:p>
        </w:tc>
        <w:tc>
          <w:tcPr>
            <w:tcW w:w="1107"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L</w:t>
            </w:r>
          </w:p>
        </w:tc>
        <w:tc>
          <w:tcPr>
            <w:tcW w:w="3031"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40/个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tcPr>
          <w:p>
            <w:pPr>
              <w:spacing w:line="360" w:lineRule="auto"/>
              <w:rPr>
                <w:rFonts w:hint="eastAsia" w:ascii="仿宋" w:hAnsi="仿宋" w:eastAsia="仿宋" w:cs="仿宋"/>
                <w:position w:val="-34"/>
                <w:sz w:val="21"/>
                <w:szCs w:val="21"/>
              </w:rPr>
            </w:pPr>
            <w:r>
              <w:rPr>
                <w:rFonts w:hint="eastAsia" w:ascii="仿宋" w:hAnsi="仿宋" w:eastAsia="仿宋" w:cs="仿宋"/>
                <w:position w:val="-34"/>
                <w:sz w:val="21"/>
                <w:szCs w:val="21"/>
              </w:rPr>
              <w:t>充气介质</w:t>
            </w:r>
          </w:p>
        </w:tc>
        <w:tc>
          <w:tcPr>
            <w:tcW w:w="1107" w:type="dxa"/>
          </w:tcPr>
          <w:p>
            <w:pPr>
              <w:spacing w:line="360" w:lineRule="auto"/>
              <w:jc w:val="center"/>
              <w:rPr>
                <w:rFonts w:hint="eastAsia" w:ascii="仿宋" w:hAnsi="仿宋" w:eastAsia="仿宋" w:cs="仿宋"/>
                <w:position w:val="-34"/>
                <w:sz w:val="21"/>
                <w:szCs w:val="21"/>
              </w:rPr>
            </w:pPr>
          </w:p>
        </w:tc>
        <w:tc>
          <w:tcPr>
            <w:tcW w:w="3031"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氮气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rFonts w:hint="eastAsia" w:ascii="仿宋" w:hAnsi="仿宋" w:eastAsia="仿宋" w:cs="仿宋"/>
                <w:color w:val="000000"/>
                <w:sz w:val="21"/>
                <w:szCs w:val="21"/>
              </w:rPr>
            </w:pPr>
          </w:p>
        </w:tc>
        <w:tc>
          <w:tcPr>
            <w:tcW w:w="2335" w:type="dxa"/>
            <w:gridSpan w:val="2"/>
          </w:tcPr>
          <w:p>
            <w:pPr>
              <w:spacing w:line="360" w:lineRule="auto"/>
              <w:rPr>
                <w:rFonts w:hint="eastAsia" w:ascii="仿宋" w:hAnsi="仿宋" w:eastAsia="仿宋" w:cs="仿宋"/>
                <w:position w:val="-34"/>
                <w:sz w:val="21"/>
                <w:szCs w:val="21"/>
              </w:rPr>
            </w:pPr>
            <w:r>
              <w:rPr>
                <w:rFonts w:hint="eastAsia" w:ascii="仿宋" w:hAnsi="仿宋" w:eastAsia="仿宋" w:cs="仿宋"/>
                <w:position w:val="-34"/>
                <w:sz w:val="21"/>
                <w:szCs w:val="21"/>
              </w:rPr>
              <w:t>充气压力</w:t>
            </w:r>
          </w:p>
        </w:tc>
        <w:tc>
          <w:tcPr>
            <w:tcW w:w="1107"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Mpa</w:t>
            </w:r>
          </w:p>
        </w:tc>
        <w:tc>
          <w:tcPr>
            <w:tcW w:w="3031"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轴头主油泵</w:t>
            </w:r>
          </w:p>
          <w:p>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（带齿轮箱上）</w:t>
            </w:r>
          </w:p>
        </w:tc>
        <w:tc>
          <w:tcPr>
            <w:tcW w:w="2335" w:type="dxa"/>
            <w:gridSpan w:val="2"/>
          </w:tcPr>
          <w:p>
            <w:pPr>
              <w:spacing w:line="360" w:lineRule="auto"/>
              <w:rPr>
                <w:rFonts w:hint="eastAsia" w:ascii="仿宋" w:hAnsi="仿宋" w:eastAsia="仿宋" w:cs="仿宋"/>
                <w:position w:val="-34"/>
                <w:sz w:val="21"/>
                <w:szCs w:val="21"/>
              </w:rPr>
            </w:pPr>
            <w:r>
              <w:rPr>
                <w:rFonts w:hint="eastAsia" w:ascii="仿宋" w:hAnsi="仿宋" w:eastAsia="仿宋" w:cs="仿宋"/>
                <w:position w:val="-34"/>
                <w:sz w:val="21"/>
                <w:szCs w:val="21"/>
              </w:rPr>
              <w:t>数量</w:t>
            </w:r>
          </w:p>
        </w:tc>
        <w:tc>
          <w:tcPr>
            <w:tcW w:w="1107"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台</w:t>
            </w:r>
          </w:p>
        </w:tc>
        <w:tc>
          <w:tcPr>
            <w:tcW w:w="3031"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rPr>
                <w:rFonts w:hint="eastAsia" w:ascii="仿宋" w:hAnsi="仿宋" w:eastAsia="仿宋" w:cs="仿宋"/>
                <w:color w:val="000000"/>
                <w:sz w:val="21"/>
                <w:szCs w:val="21"/>
              </w:rPr>
            </w:pPr>
          </w:p>
        </w:tc>
        <w:tc>
          <w:tcPr>
            <w:tcW w:w="2335" w:type="dxa"/>
            <w:gridSpan w:val="2"/>
          </w:tcPr>
          <w:p>
            <w:pPr>
              <w:spacing w:line="360" w:lineRule="auto"/>
              <w:rPr>
                <w:rFonts w:hint="eastAsia" w:ascii="仿宋" w:hAnsi="仿宋" w:eastAsia="仿宋" w:cs="仿宋"/>
                <w:position w:val="-34"/>
                <w:sz w:val="21"/>
                <w:szCs w:val="21"/>
              </w:rPr>
            </w:pPr>
            <w:r>
              <w:rPr>
                <w:rFonts w:hint="eastAsia" w:ascii="仿宋" w:hAnsi="仿宋" w:eastAsia="仿宋" w:cs="仿宋"/>
                <w:position w:val="-34"/>
                <w:sz w:val="21"/>
                <w:szCs w:val="21"/>
              </w:rPr>
              <w:t>流量</w:t>
            </w:r>
          </w:p>
        </w:tc>
        <w:tc>
          <w:tcPr>
            <w:tcW w:w="1107"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L/min</w:t>
            </w:r>
          </w:p>
        </w:tc>
        <w:tc>
          <w:tcPr>
            <w:tcW w:w="3031" w:type="dxa"/>
          </w:tcPr>
          <w:p>
            <w:pPr>
              <w:spacing w:line="360" w:lineRule="auto"/>
              <w:jc w:val="center"/>
              <w:rPr>
                <w:rFonts w:hint="eastAsia" w:ascii="仿宋" w:hAnsi="仿宋" w:eastAsia="仿宋" w:cs="仿宋"/>
                <w:position w:val="-34"/>
                <w:sz w:val="21"/>
                <w:szCs w:val="21"/>
              </w:rPr>
            </w:pPr>
            <w:r>
              <w:rPr>
                <w:rFonts w:hint="eastAsia" w:ascii="仿宋" w:hAnsi="仿宋" w:eastAsia="仿宋" w:cs="仿宋"/>
                <w:position w:val="-34"/>
                <w:sz w:val="21"/>
                <w:szCs w:val="21"/>
              </w:rPr>
              <w:t>210</w:t>
            </w:r>
          </w:p>
        </w:tc>
      </w:tr>
    </w:tbl>
    <w:p>
      <w:pPr>
        <w:pStyle w:val="22"/>
        <w:pageBreakBefore w:val="0"/>
        <w:kinsoku/>
        <w:wordWrap/>
        <w:topLinePunct w:val="0"/>
        <w:bidi w:val="0"/>
        <w:snapToGrid w:val="0"/>
        <w:spacing w:line="360" w:lineRule="auto"/>
        <w:ind w:firstLine="601"/>
        <w:rPr>
          <w:rFonts w:hint="default" w:ascii="仿宋" w:hAnsi="仿宋" w:eastAsia="仿宋" w:cs="仿宋"/>
          <w:b/>
          <w:bCs w:val="0"/>
          <w:sz w:val="28"/>
          <w:szCs w:val="28"/>
          <w:lang w:val="en-US" w:eastAsia="zh-CN"/>
        </w:rPr>
      </w:pPr>
    </w:p>
    <w:p>
      <w:pPr>
        <w:pStyle w:val="22"/>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1.3汽轮机维保服务内容</w:t>
      </w:r>
    </w:p>
    <w:tbl>
      <w:tblPr>
        <w:tblStyle w:val="17"/>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87"/>
        <w:gridCol w:w="2288"/>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2387" w:type="dxa"/>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2288" w:type="dxa"/>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3037" w:type="dxa"/>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23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常规检查</w:t>
            </w:r>
          </w:p>
        </w:tc>
        <w:tc>
          <w:tcPr>
            <w:tcW w:w="228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52次</w:t>
            </w:r>
          </w:p>
        </w:tc>
        <w:tc>
          <w:tcPr>
            <w:tcW w:w="303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每周一次定期检查，具体附后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23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年度小修</w:t>
            </w:r>
          </w:p>
        </w:tc>
        <w:tc>
          <w:tcPr>
            <w:tcW w:w="228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1次</w:t>
            </w:r>
          </w:p>
        </w:tc>
        <w:tc>
          <w:tcPr>
            <w:tcW w:w="303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每年一次小修，具体附后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3</w:t>
            </w:r>
          </w:p>
        </w:tc>
        <w:tc>
          <w:tcPr>
            <w:tcW w:w="23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维修备件</w:t>
            </w:r>
          </w:p>
        </w:tc>
        <w:tc>
          <w:tcPr>
            <w:tcW w:w="228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按需更换、按实结算</w:t>
            </w:r>
          </w:p>
        </w:tc>
        <w:tc>
          <w:tcPr>
            <w:tcW w:w="303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具体附后</w:t>
            </w:r>
          </w:p>
        </w:tc>
      </w:tr>
    </w:tbl>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autoSpaceDE w:val="0"/>
        <w:autoSpaceDN w:val="0"/>
        <w:adjustRightInd w:val="0"/>
        <w:snapToGrid w:val="0"/>
        <w:spacing w:line="360" w:lineRule="auto"/>
        <w:ind w:firstLine="562" w:firstLineChars="200"/>
        <w:jc w:val="left"/>
        <w:outlineLvl w:val="0"/>
        <w:rPr>
          <w:rFonts w:hint="eastAsia" w:ascii="仿宋" w:hAnsi="仿宋" w:eastAsia="仿宋" w:cs="仿宋"/>
          <w:b/>
          <w:bCs w:val="0"/>
          <w:color w:val="000000"/>
          <w:kern w:val="0"/>
          <w:sz w:val="28"/>
          <w:szCs w:val="28"/>
          <w:u w:color="000000"/>
          <w:lang w:val="en-US" w:eastAsia="zh-CN" w:bidi="ar-SA"/>
        </w:rPr>
      </w:pPr>
      <w:r>
        <w:rPr>
          <w:rFonts w:hint="eastAsia" w:ascii="仿宋" w:hAnsi="仿宋" w:eastAsia="仿宋" w:cs="仿宋"/>
          <w:b/>
          <w:bCs w:val="0"/>
          <w:color w:val="000000"/>
          <w:kern w:val="0"/>
          <w:sz w:val="28"/>
          <w:szCs w:val="28"/>
          <w:u w:color="000000"/>
          <w:lang w:val="en-US" w:eastAsia="zh-CN" w:bidi="ar-SA"/>
        </w:rPr>
        <w:t>1.3.1内容及要求：</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bookmarkStart w:id="11" w:name="_Toc92293421"/>
      <w:r>
        <w:rPr>
          <w:rFonts w:hint="eastAsia" w:ascii="仿宋" w:hAnsi="仿宋" w:eastAsia="仿宋" w:cs="仿宋"/>
          <w:b/>
          <w:bCs/>
          <w:sz w:val="28"/>
          <w:szCs w:val="28"/>
          <w:lang w:val="en-US" w:eastAsia="zh-CN"/>
        </w:rPr>
        <w:t>1.3.1.1</w:t>
      </w:r>
      <w:r>
        <w:rPr>
          <w:rFonts w:hint="eastAsia" w:ascii="仿宋" w:hAnsi="仿宋" w:eastAsia="仿宋" w:cs="仿宋"/>
          <w:b/>
          <w:bCs/>
          <w:sz w:val="28"/>
          <w:szCs w:val="28"/>
        </w:rPr>
        <w:t>汽轮机的定期试验</w:t>
      </w:r>
      <w:bookmarkEnd w:id="11"/>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（1）主汽门活动试验每周一次，检查主汽门活动情况，阀杆是否卡涩。</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（2）每周一次在低负荷下进行一次抽汽逆止阀活动试验。</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（3）每周一次电动油泵试验。</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（4）其他有关调节部套试验详见“调节保安系统说明书”。</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bookmarkStart w:id="12" w:name="_Toc92293422"/>
      <w:r>
        <w:rPr>
          <w:rFonts w:hint="eastAsia" w:ascii="仿宋" w:hAnsi="仿宋" w:eastAsia="仿宋" w:cs="仿宋"/>
          <w:b/>
          <w:bCs/>
          <w:sz w:val="28"/>
          <w:szCs w:val="28"/>
          <w:lang w:val="en-US" w:eastAsia="zh-CN"/>
        </w:rPr>
        <w:t>1.3.1.2</w:t>
      </w:r>
      <w:r>
        <w:rPr>
          <w:rFonts w:hint="eastAsia" w:ascii="仿宋" w:hAnsi="仿宋" w:eastAsia="仿宋" w:cs="仿宋"/>
          <w:b/>
          <w:bCs/>
          <w:sz w:val="28"/>
          <w:szCs w:val="28"/>
        </w:rPr>
        <w:t>汽轮机定期检查</w:t>
      </w:r>
      <w:bookmarkEnd w:id="12"/>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对设备的定期检查是保护本设备长期运行的保证。按汽轮机的设备特点，列出检查项目，</w:t>
      </w:r>
      <w:r>
        <w:rPr>
          <w:rFonts w:hint="eastAsia" w:ascii="仿宋" w:hAnsi="仿宋" w:eastAsia="仿宋" w:cs="仿宋"/>
          <w:b w:val="0"/>
          <w:bCs w:val="0"/>
          <w:sz w:val="28"/>
          <w:szCs w:val="28"/>
          <w:lang w:eastAsia="zh-CN"/>
        </w:rPr>
        <w:t>供采购人参考</w:t>
      </w:r>
      <w:r>
        <w:rPr>
          <w:rFonts w:hint="eastAsia" w:ascii="仿宋" w:hAnsi="仿宋" w:eastAsia="仿宋" w:cs="仿宋"/>
          <w:b w:val="0"/>
          <w:bCs w:val="0"/>
          <w:sz w:val="28"/>
          <w:szCs w:val="28"/>
        </w:rPr>
        <w:t>。为了维护好汽轮机机组，首先应有完整的综合运行日志，以便欲查找故障和确定有可能出问题的部位。</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综合运行日志应分期保存，其内容应包括所有有用的温度、压力、流量、频率、速度和负荷变化等数据，并应包括所有异常工况、脱扣或偏离正常运行程序等情况的完整说明。</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各类监测仪表的自动记录纸是日志的一个有价值的组成部分应将其编上日期，装订成册，并与运行日志中有关的事件相互参照。</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还应从机组安装起，为每台汽轮机编写一套完整而详尽的“历史情况记录”。它应包括对在安装、初始启动及运行过程中所有异常情况，以及在检查过程中发现的所有值得注意状况的记录与分析。它还应包括所有采用或准备采用的修改措施的说明。一台新汽轮机首次全面检查是“历史情况记录”中最有价值的资料。随后的检查和维修计划应以上一次检查所发现的问题，“历史情况记录”和运行日志为基础。</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1.3.1.3</w:t>
      </w:r>
      <w:r>
        <w:rPr>
          <w:rFonts w:hint="eastAsia" w:ascii="仿宋" w:hAnsi="仿宋" w:eastAsia="仿宋" w:cs="仿宋"/>
          <w:b/>
          <w:bCs/>
          <w:sz w:val="28"/>
          <w:szCs w:val="28"/>
        </w:rPr>
        <w:t>每月一次的检查项目</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（1）检查汽轮机监测仪表，包括振动和金属温度记录仪，检查期间应使这些仪表保持清洁，对仪表进行电气检查，任何有问题的部件都应更换。</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（2）检查所有测汽轮机金属温度用的热电偶，以30天为期对这些元件进行一次检查和维护，并备好备用热电偶及时更换失效的热电偶。</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（3）检查抽汽管道阀门，检查这些阀门的所有控制器，包括操纵座、开关、电磁阀、空气过滤器和整套供气装置等。所有在运行中能进行试验的抽汽管道阀门，都应定期进行活动试验。</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（4）检查加热器的水位控制器和报警系统，以保证正常运行。检查期间应保持仪表清洁，有问题的设备应更换。</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（5）检查所有加热器的疏水阀。更换有问题的部件。</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r>
        <w:rPr>
          <w:rFonts w:hint="eastAsia" w:ascii="仿宋" w:hAnsi="仿宋" w:eastAsia="仿宋" w:cs="仿宋"/>
          <w:b/>
          <w:bCs/>
          <w:sz w:val="28"/>
          <w:szCs w:val="28"/>
          <w:lang w:val="en-US" w:eastAsia="zh-CN"/>
        </w:rPr>
        <w:t>1.3.1.4</w:t>
      </w:r>
      <w:r>
        <w:rPr>
          <w:rFonts w:hint="eastAsia" w:ascii="仿宋" w:hAnsi="仿宋" w:eastAsia="仿宋" w:cs="仿宋"/>
          <w:b/>
          <w:bCs/>
          <w:sz w:val="28"/>
          <w:szCs w:val="28"/>
        </w:rPr>
        <w:t>每三个月一次的检查</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（1）检查汽轮机及相关管道的所有疏水管道和阀门，这包括主蒸汽、补汽、抽汽、蒸汽管道。</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（2）通过测量疏水器或孔板上、下游管道的温度，检查所有的孔板和疏水器。</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（3）对疏水阀进行检查，更换有问题的部件。</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r>
        <w:rPr>
          <w:rFonts w:hint="eastAsia" w:ascii="仿宋" w:hAnsi="仿宋" w:eastAsia="仿宋" w:cs="仿宋"/>
          <w:b/>
          <w:bCs/>
          <w:sz w:val="28"/>
          <w:szCs w:val="28"/>
          <w:lang w:val="en-US" w:eastAsia="zh-CN"/>
        </w:rPr>
        <w:t>1.3.1.5</w:t>
      </w:r>
      <w:r>
        <w:rPr>
          <w:rFonts w:hint="eastAsia" w:ascii="仿宋" w:hAnsi="仿宋" w:eastAsia="仿宋" w:cs="仿宋"/>
          <w:b/>
          <w:bCs/>
          <w:sz w:val="28"/>
          <w:szCs w:val="28"/>
        </w:rPr>
        <w:t>每年一次的检查</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（1）对关键的阀门、汽水阀和孔板进行内部检查，维护并清理干净。</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（2）初始启动后拆除滤网时，启动后大约两周再解体时，以及每年一次的检查时，需清理干净主要疏水的集水箱。</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（3）检查主汽门、调节汽阀，修复其所有动、静部件间的间隙至设计值（包括阀杆间隙）。</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bookmarkStart w:id="13" w:name="_Toc92293423"/>
      <w:r>
        <w:rPr>
          <w:rFonts w:hint="eastAsia" w:ascii="仿宋" w:hAnsi="仿宋" w:eastAsia="仿宋" w:cs="仿宋"/>
          <w:b/>
          <w:bCs/>
          <w:sz w:val="28"/>
          <w:szCs w:val="28"/>
          <w:lang w:val="en-US" w:eastAsia="zh-CN"/>
        </w:rPr>
        <w:t>1.3.1.6</w:t>
      </w:r>
      <w:r>
        <w:rPr>
          <w:rFonts w:hint="eastAsia" w:ascii="仿宋" w:hAnsi="仿宋" w:eastAsia="仿宋" w:cs="仿宋"/>
          <w:b/>
          <w:bCs/>
          <w:sz w:val="28"/>
          <w:szCs w:val="28"/>
        </w:rPr>
        <w:t>汽轮机运行中的检查项目</w:t>
      </w:r>
      <w:bookmarkEnd w:id="13"/>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运行人员应充分了解设备的运行限额，预防措施和运行程序，应始终严密监测汽轮机的状况。任何偏离正常值的状况都可能表明已出了故障或存在出事故的苗子，应立即查明。任何漏水、漏油、漏汽或保温层松脱等都是危险苗子，可能酿成严重事故，任何这类情况都应立即查明。</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在运行期间除完整记录综合运行日志“历史情况记录”外，在汽轮机停机检修前尚应检查下列项目，以确定需特别注意和检查的项目。</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（1）记录额定负荷，3/4和1/2额定负荷时的振动情况，相位角变化和幅值增减，以及进汽温度和压力。</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（2）记录额定负荷和卸负荷停机时轴承进出口油温和巴氏合金的温度。</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（3）测定油滤网上是否有巴氏合金或其它金属碎片。</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（4）测定润滑油系统压力是否有任何变化。</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（5）脱扣时主汽阀和调阀是否能迅速及时地关闭。</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（6）脱扣后测定汽机惰走曲线</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（7）抽汽逆止阀是否在正常工作状态</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（8）转子位置是否与原基准值相比有了变化，应特别注意额定负荷下的比较。</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（9）注意轴承油封环和油管路中的油泄漏或油雾。</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（10）注意在汽轮机的任何接口或阀杆处的任何蒸汽泄漏。</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（11）观察各汽封是否正常。</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（12）调节系统是否稳定。</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（13）调节油压是否有过什么变化。</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（14）蒸汽排放系统是否正常。</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（15）交流油泵及直流油泵开关是否起作用。</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（16）测定汽缸内噪音水平是否有变化。</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（17）用表面式温度计测定各轴承座轴承挡处表面金属温度有任何变化。</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（18）确定是否所有汽轮机监测仪表都正常工作。</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bookmarkStart w:id="14" w:name="_Toc92293424"/>
      <w:r>
        <w:rPr>
          <w:rFonts w:hint="eastAsia" w:ascii="仿宋" w:hAnsi="仿宋" w:eastAsia="仿宋" w:cs="仿宋"/>
          <w:b/>
          <w:bCs/>
          <w:sz w:val="28"/>
          <w:szCs w:val="28"/>
          <w:lang w:val="en-US" w:eastAsia="zh-CN"/>
        </w:rPr>
        <w:t>1.3.1.7</w:t>
      </w:r>
      <w:r>
        <w:rPr>
          <w:rFonts w:hint="eastAsia" w:ascii="仿宋" w:hAnsi="仿宋" w:eastAsia="仿宋" w:cs="仿宋"/>
          <w:b/>
          <w:bCs/>
          <w:sz w:val="28"/>
          <w:szCs w:val="28"/>
        </w:rPr>
        <w:t>短期停机的检查项目</w:t>
      </w:r>
      <w:bookmarkEnd w:id="14"/>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如果以往的运行经验或各进汽阀的活动试验表明其结构可能存在问题，则每种型式的进汽阀至少要拆开一只进行检查。核查阀门，阀杆和衬套的状况及其相应间隙，由检查结果确定是否需要对其余阀门再作检查。</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（2）检查所有有异常迹象的部件。</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bookmarkStart w:id="15" w:name="_Toc92293425"/>
      <w:r>
        <w:rPr>
          <w:rFonts w:hint="eastAsia" w:ascii="仿宋" w:hAnsi="仿宋" w:eastAsia="仿宋" w:cs="仿宋"/>
          <w:b/>
          <w:bCs/>
          <w:sz w:val="28"/>
          <w:szCs w:val="28"/>
          <w:lang w:val="en-US" w:eastAsia="zh-CN"/>
        </w:rPr>
        <w:t>1.3.1.8小修</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r>
        <w:rPr>
          <w:rFonts w:hint="eastAsia" w:ascii="仿宋" w:hAnsi="仿宋" w:eastAsia="仿宋" w:cs="仿宋"/>
          <w:b/>
          <w:bCs/>
          <w:sz w:val="28"/>
          <w:szCs w:val="28"/>
          <w:lang w:val="en-US" w:eastAsia="zh-CN"/>
        </w:rPr>
        <w:t>1.3.1.8.1</w:t>
      </w:r>
      <w:r>
        <w:rPr>
          <w:rFonts w:hint="eastAsia" w:ascii="仿宋" w:hAnsi="仿宋" w:eastAsia="仿宋" w:cs="仿宋"/>
          <w:b/>
          <w:bCs/>
          <w:sz w:val="28"/>
          <w:szCs w:val="28"/>
        </w:rPr>
        <w:t>小修的检查项目</w:t>
      </w:r>
      <w:bookmarkEnd w:id="15"/>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按照实际运行设备情况，应事先制订详尽的小修计划、进度、日程表，并事先准备好各种预计或准备要更换的零部件备件。</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在进行全面解体检查时，提请注意下列工作：</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（1）对主汽门、调节汽阀要测定阀杆、阻汽套、衬套等零件的氧化积垢情况，要恢复其设计间隙，并要核查各密封面（包括自密封面）的接触情况并予以修复。</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（2）对汽缸要检查所有配合与装配表面，注意汽缸壁上是否有磨蚀，检查水平中分面有否漏汽迹象，如有并予以处理，检查法兰螺栓、螺母、垫圈，固定螺钉有否松脱。</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（3）全面检查各径向轴承，测定并记录轴承和轴颈的直径，检查轴颈上是否有划痕，擦伤或麻点。轴承衬瓦是否有蚀点，磨痕或脱落情况。</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推力轴承要检查正、反推力而各瓦块的表面，各轴承都要检查热电偶的接线情况。</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（4）全面检查润滑系统（包括冷油器、辅助油泵、油箱及轴承内部的清洁度）。</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（5）全面检查转子及汽封系统，检查动叶片（包括叶根）和围带情况，末叶片水蚀情况，测量记录检修前后通流部分的轴向和径向间隙。注意叶片上所有磨蚀情况，检查汽封档凸肩情况，各汽封环有否磨损。</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（6）检查联轴器，检查其连接螺栓、螺母。</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（7）检查各隔板有否磨痕，各静叶尤其是出汽边是否有麻点、裂纹、金属磨蚀。</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（8）复核通流部分的定位基准，复核轴系的找中曲线，这包括复核冷态各轴承标高与原始安装值有否变化，各联轴器处开口和外圆的变化情况，如有变化并予以修复。</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r>
        <w:rPr>
          <w:rFonts w:hint="eastAsia" w:ascii="仿宋" w:hAnsi="仿宋" w:eastAsia="仿宋" w:cs="仿宋"/>
          <w:b/>
          <w:bCs/>
          <w:sz w:val="28"/>
          <w:szCs w:val="28"/>
          <w:lang w:val="en-US" w:eastAsia="zh-CN"/>
        </w:rPr>
        <w:t>1.3.1.8.2</w:t>
      </w:r>
      <w:r>
        <w:rPr>
          <w:rFonts w:hint="eastAsia" w:ascii="仿宋" w:hAnsi="仿宋" w:eastAsia="仿宋" w:cs="仿宋"/>
          <w:b/>
          <w:bCs/>
          <w:sz w:val="28"/>
          <w:szCs w:val="28"/>
        </w:rPr>
        <w:t>小修的</w:t>
      </w:r>
      <w:r>
        <w:rPr>
          <w:rFonts w:hint="eastAsia" w:ascii="仿宋" w:hAnsi="仿宋" w:eastAsia="仿宋" w:cs="仿宋"/>
          <w:b/>
          <w:bCs/>
          <w:sz w:val="28"/>
          <w:szCs w:val="28"/>
          <w:lang w:eastAsia="zh-CN"/>
        </w:rPr>
        <w:t>检修内容</w:t>
      </w:r>
    </w:p>
    <w:tbl>
      <w:tblPr>
        <w:tblStyle w:val="17"/>
        <w:tblW w:w="7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6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序号</w:t>
            </w:r>
          </w:p>
        </w:tc>
        <w:tc>
          <w:tcPr>
            <w:tcW w:w="6048"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检修内容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1</w:t>
            </w:r>
          </w:p>
        </w:tc>
        <w:tc>
          <w:tcPr>
            <w:tcW w:w="6048" w:type="dxa"/>
            <w:vAlign w:val="center"/>
          </w:tcPr>
          <w:p>
            <w:pPr>
              <w:widowControl/>
              <w:jc w:val="center"/>
              <w:textAlignment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前后轴瓦检查、调整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2</w:t>
            </w:r>
          </w:p>
        </w:tc>
        <w:tc>
          <w:tcPr>
            <w:tcW w:w="6048" w:type="dxa"/>
            <w:vAlign w:val="center"/>
          </w:tcPr>
          <w:p>
            <w:pPr>
              <w:widowControl/>
              <w:jc w:val="center"/>
              <w:textAlignment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调节进气连杆检查、调整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3</w:t>
            </w:r>
          </w:p>
        </w:tc>
        <w:tc>
          <w:tcPr>
            <w:tcW w:w="6048" w:type="dxa"/>
            <w:vAlign w:val="center"/>
          </w:tcPr>
          <w:p>
            <w:pPr>
              <w:widowControl/>
              <w:jc w:val="center"/>
              <w:textAlignment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汽轮机联轴器中心复查、调整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4</w:t>
            </w:r>
          </w:p>
        </w:tc>
        <w:tc>
          <w:tcPr>
            <w:tcW w:w="6048" w:type="dxa"/>
            <w:vAlign w:val="center"/>
          </w:tcPr>
          <w:p>
            <w:pPr>
              <w:widowControl/>
              <w:jc w:val="center"/>
              <w:textAlignment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发电机联轴器中心复查、调整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5</w:t>
            </w:r>
          </w:p>
        </w:tc>
        <w:tc>
          <w:tcPr>
            <w:tcW w:w="6048" w:type="dxa"/>
            <w:vAlign w:val="center"/>
          </w:tcPr>
          <w:p>
            <w:pPr>
              <w:widowControl/>
              <w:jc w:val="center"/>
              <w:textAlignment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润滑油系统检查、清理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6</w:t>
            </w:r>
          </w:p>
        </w:tc>
        <w:tc>
          <w:tcPr>
            <w:tcW w:w="6048" w:type="dxa"/>
            <w:vAlign w:val="center"/>
          </w:tcPr>
          <w:p>
            <w:pPr>
              <w:widowControl/>
              <w:jc w:val="center"/>
              <w:textAlignment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调速系统检查、清理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7</w:t>
            </w:r>
          </w:p>
        </w:tc>
        <w:tc>
          <w:tcPr>
            <w:tcW w:w="6048" w:type="dxa"/>
            <w:vAlign w:val="center"/>
          </w:tcPr>
          <w:p>
            <w:pPr>
              <w:widowControl/>
              <w:jc w:val="center"/>
              <w:textAlignment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汽轮机静态、动态试验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8</w:t>
            </w:r>
          </w:p>
        </w:tc>
        <w:tc>
          <w:tcPr>
            <w:tcW w:w="6048" w:type="dxa"/>
            <w:vAlign w:val="center"/>
          </w:tcPr>
          <w:p>
            <w:pPr>
              <w:widowControl/>
              <w:jc w:val="center"/>
              <w:textAlignment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冷油器检查清理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9</w:t>
            </w:r>
          </w:p>
        </w:tc>
        <w:tc>
          <w:tcPr>
            <w:tcW w:w="6048" w:type="dxa"/>
            <w:vAlign w:val="center"/>
          </w:tcPr>
          <w:p>
            <w:pPr>
              <w:widowControl/>
              <w:jc w:val="center"/>
              <w:textAlignment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抽气器检查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11" w:type="dxa"/>
          </w:tcPr>
          <w:p>
            <w:pPr>
              <w:pStyle w:val="10"/>
              <w:spacing w:line="360" w:lineRule="auto"/>
              <w:jc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10</w:t>
            </w:r>
          </w:p>
        </w:tc>
        <w:tc>
          <w:tcPr>
            <w:tcW w:w="6048" w:type="dxa"/>
            <w:vAlign w:val="center"/>
          </w:tcPr>
          <w:p>
            <w:pPr>
              <w:widowControl/>
              <w:jc w:val="center"/>
              <w:textAlignment w:val="center"/>
              <w:rPr>
                <w:rFonts w:hint="eastAsia" w:ascii="仿宋" w:hAnsi="仿宋" w:eastAsia="仿宋" w:cs="仿宋"/>
                <w:b w:val="0"/>
                <w:bCs w:val="0"/>
                <w:color w:val="000000"/>
                <w:kern w:val="0"/>
                <w:sz w:val="28"/>
                <w:szCs w:val="28"/>
                <w:u w:color="000000"/>
                <w:lang w:val="en-US" w:eastAsia="zh-CN" w:bidi="ar-SA"/>
              </w:rPr>
            </w:pPr>
            <w:r>
              <w:rPr>
                <w:rFonts w:hint="eastAsia" w:ascii="仿宋" w:hAnsi="仿宋" w:eastAsia="仿宋" w:cs="仿宋"/>
                <w:b w:val="0"/>
                <w:bCs w:val="0"/>
                <w:color w:val="000000"/>
                <w:kern w:val="0"/>
                <w:sz w:val="28"/>
                <w:szCs w:val="28"/>
                <w:u w:color="000000"/>
                <w:lang w:val="en-US" w:eastAsia="zh-CN" w:bidi="ar-SA"/>
              </w:rPr>
              <w:t>前后轴箱测点复检</w:t>
            </w:r>
          </w:p>
        </w:tc>
      </w:tr>
    </w:tbl>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bookmarkStart w:id="16" w:name="_Toc92293426"/>
      <w:r>
        <w:rPr>
          <w:rFonts w:hint="eastAsia" w:ascii="仿宋" w:hAnsi="仿宋" w:eastAsia="仿宋" w:cs="仿宋"/>
          <w:b/>
          <w:bCs/>
          <w:sz w:val="28"/>
          <w:szCs w:val="28"/>
          <w:lang w:val="en-US" w:eastAsia="zh-CN"/>
        </w:rPr>
        <w:t>1.3.1.9</w:t>
      </w:r>
      <w:r>
        <w:rPr>
          <w:rFonts w:hint="eastAsia" w:ascii="仿宋" w:hAnsi="仿宋" w:eastAsia="仿宋" w:cs="仿宋"/>
          <w:b/>
          <w:bCs/>
          <w:sz w:val="28"/>
          <w:szCs w:val="28"/>
        </w:rPr>
        <w:t>停机后的维护</w:t>
      </w:r>
      <w:bookmarkEnd w:id="16"/>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1.3.1.9.1</w:t>
      </w:r>
      <w:r>
        <w:rPr>
          <w:rFonts w:hint="eastAsia" w:ascii="仿宋" w:hAnsi="仿宋" w:eastAsia="仿宋" w:cs="仿宋"/>
          <w:b w:val="0"/>
          <w:bCs w:val="0"/>
          <w:sz w:val="28"/>
          <w:szCs w:val="28"/>
        </w:rPr>
        <w:t xml:space="preserve"> 汽轮机停用期不超过二周（无检修工作）时的保养措施：</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（1）关闭机组与公共母管连接的汽水系统隔绝阀门，若阀门不严密应扩大隔绝范围或加装堵板。</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（2）开启有关通向大气的疏水、放水、放气等阀门。设法放尽管道、容器、箱内等内部的积水或存水。</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（3）每星期进行一次油箱低部放水，若有条件可启动各油泵进行油循环，如无条件则每天将转子转动半圈。</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（4）如汽轮机停用期适值冬季，则应做好防冻工作。</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（5）暴露于外部的加工面涂以防锈油。</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1.3.1.9.2</w:t>
      </w:r>
      <w:r>
        <w:rPr>
          <w:rFonts w:hint="eastAsia" w:ascii="仿宋" w:hAnsi="仿宋" w:eastAsia="仿宋" w:cs="仿宋"/>
          <w:b w:val="0"/>
          <w:bCs w:val="0"/>
          <w:sz w:val="28"/>
          <w:szCs w:val="28"/>
        </w:rPr>
        <w:t>汽轮机停用超过二周，但不超过六个月（无检修工作）时的保养措施，除了应做好上述（6.1）保养工作外，还应采用热风干燥法进行保养。送风时排汽缸温度应低于80℃，一般应调节热风温度，使汽轮机内缸内壁温度比室温高3～5℃。若热干燥有困难，可用抽汽器抽真空，使机组内部保持干燥，每月进行一次，运行一小时（选择晴天，空气比较干燥时进行）</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1.3.1.9.3</w:t>
      </w:r>
      <w:r>
        <w:rPr>
          <w:rFonts w:hint="eastAsia" w:ascii="仿宋" w:hAnsi="仿宋" w:eastAsia="仿宋" w:cs="仿宋"/>
          <w:b w:val="0"/>
          <w:bCs w:val="0"/>
          <w:sz w:val="28"/>
          <w:szCs w:val="28"/>
        </w:rPr>
        <w:t xml:space="preserve"> 汽轮机停用期超过六个月时的保养措施：除了应做好上述保养工作外，还应采用拆开保养法进行保养，即在金属表面涂上合适的防锈油脂，或喷上银粉等，妥善保管，并定期检查保养效果。</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凝汽器、加热器、冷油器必要时进行充氮保养。</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bookmarkStart w:id="17" w:name="_Toc92293427"/>
      <w:r>
        <w:rPr>
          <w:rFonts w:hint="eastAsia" w:ascii="仿宋" w:hAnsi="仿宋" w:eastAsia="仿宋" w:cs="仿宋"/>
          <w:b/>
          <w:bCs/>
          <w:sz w:val="28"/>
          <w:szCs w:val="28"/>
          <w:lang w:val="en-US" w:eastAsia="zh-CN"/>
        </w:rPr>
        <w:t>1.3.1.10</w:t>
      </w:r>
      <w:r>
        <w:rPr>
          <w:rFonts w:hint="eastAsia" w:ascii="仿宋" w:hAnsi="仿宋" w:eastAsia="仿宋" w:cs="仿宋"/>
          <w:b/>
          <w:bCs/>
          <w:sz w:val="28"/>
          <w:szCs w:val="28"/>
        </w:rPr>
        <w:t>蒸汽管道的清洗</w:t>
      </w:r>
      <w:bookmarkEnd w:id="17"/>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r>
        <w:rPr>
          <w:rFonts w:hint="eastAsia" w:ascii="仿宋" w:hAnsi="仿宋" w:eastAsia="仿宋" w:cs="仿宋"/>
          <w:b/>
          <w:bCs/>
          <w:sz w:val="28"/>
          <w:szCs w:val="28"/>
          <w:lang w:val="en-US" w:eastAsia="zh-CN"/>
        </w:rPr>
        <w:t>1.3.1.10.1</w:t>
      </w:r>
      <w:r>
        <w:rPr>
          <w:rFonts w:hint="eastAsia" w:ascii="仿宋" w:hAnsi="仿宋" w:eastAsia="仿宋" w:cs="仿宋"/>
          <w:b/>
          <w:bCs/>
          <w:sz w:val="28"/>
          <w:szCs w:val="28"/>
        </w:rPr>
        <w:t>概述</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汽轮机的安全经济运行要求进入汽轮机主蒸汽没有外来杂物，为了提供纯净的蒸汽，要求锅炉以及汽轮机的进汽管道在通过蒸汽前，需要进行彻底清洗，不仅新机组初始启动前要求清洗管道，而且检修后的锅炉管道和进汽管道在再启动前也要进行（清洗汽封管道也包括在内）。</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1.3.1.10.2</w:t>
      </w:r>
      <w:r>
        <w:rPr>
          <w:rFonts w:hint="eastAsia" w:ascii="仿宋" w:hAnsi="仿宋" w:eastAsia="仿宋" w:cs="仿宋"/>
          <w:b/>
          <w:bCs/>
          <w:sz w:val="28"/>
          <w:szCs w:val="28"/>
        </w:rPr>
        <w:t>清洗的要求</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清洗后，必须达到能清除掉外部杂物，如附在管子内表面的扎制鳞皮、焊珠、焊渣、氧化皮等。</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1.3.1.10.3</w:t>
      </w:r>
      <w:r>
        <w:rPr>
          <w:rFonts w:hint="eastAsia" w:ascii="仿宋" w:hAnsi="仿宋" w:eastAsia="仿宋" w:cs="仿宋"/>
          <w:b/>
          <w:bCs/>
          <w:sz w:val="28"/>
          <w:szCs w:val="28"/>
        </w:rPr>
        <w:t>清洗的方法</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蒸汽管道的清洗目前普遍采用蒸汽吹扫与化学清洗方法，应按照DL5011-92“电力建设施工及验收技术规范”（汽轮机机组篇）中的规定，依管道的类别分别选取蒸汽吹扫或是化学清洗。</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对蒸汽吹扫的管道需要按DL5031-94“电力建设施工及验收技术规范”（管道篇）的规定，用蒸汽吹扫合格。</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而对需进行化学清洗的管道，则应按DLJ58-83“电力建设施工及验收技术规范”（火力发电厂化学篇）的要求进行。</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bookmarkStart w:id="18" w:name="_Toc92293428"/>
      <w:r>
        <w:rPr>
          <w:rFonts w:hint="eastAsia" w:ascii="仿宋" w:hAnsi="仿宋" w:eastAsia="仿宋" w:cs="仿宋"/>
          <w:b/>
          <w:bCs/>
          <w:sz w:val="28"/>
          <w:szCs w:val="28"/>
          <w:lang w:val="en-US" w:eastAsia="zh-CN"/>
        </w:rPr>
        <w:t>1.3.1.11</w:t>
      </w:r>
      <w:r>
        <w:rPr>
          <w:rFonts w:hint="eastAsia" w:ascii="仿宋" w:hAnsi="仿宋" w:eastAsia="仿宋" w:cs="仿宋"/>
          <w:b/>
          <w:bCs/>
          <w:sz w:val="28"/>
          <w:szCs w:val="28"/>
        </w:rPr>
        <w:t>润滑要求</w:t>
      </w:r>
      <w:bookmarkEnd w:id="18"/>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r>
        <w:rPr>
          <w:rFonts w:hint="eastAsia" w:ascii="仿宋" w:hAnsi="仿宋" w:eastAsia="仿宋" w:cs="仿宋"/>
          <w:b/>
          <w:bCs/>
          <w:sz w:val="28"/>
          <w:szCs w:val="28"/>
          <w:lang w:val="en-US" w:eastAsia="zh-CN"/>
        </w:rPr>
        <w:t>1.3.1.11.1</w:t>
      </w:r>
      <w:r>
        <w:rPr>
          <w:rFonts w:hint="eastAsia" w:ascii="仿宋" w:hAnsi="仿宋" w:eastAsia="仿宋" w:cs="仿宋"/>
          <w:b w:val="0"/>
          <w:bCs w:val="0"/>
          <w:sz w:val="28"/>
          <w:szCs w:val="28"/>
        </w:rPr>
        <w:t xml:space="preserve"> </w:t>
      </w:r>
      <w:r>
        <w:rPr>
          <w:rFonts w:hint="eastAsia" w:ascii="仿宋" w:hAnsi="仿宋" w:eastAsia="仿宋" w:cs="仿宋"/>
          <w:b/>
          <w:bCs/>
          <w:sz w:val="28"/>
          <w:szCs w:val="28"/>
        </w:rPr>
        <w:t>常规的润滑保养项目</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ab/>
      </w:r>
      <w:r>
        <w:rPr>
          <w:rFonts w:hint="eastAsia" w:ascii="仿宋" w:hAnsi="仿宋" w:eastAsia="仿宋" w:cs="仿宋"/>
          <w:b w:val="0"/>
          <w:bCs w:val="0"/>
          <w:sz w:val="28"/>
          <w:szCs w:val="28"/>
        </w:rPr>
        <w:t>对于汽轮机各部套配套的电动机、滚动轴承等需润滑保养的零部件，都按相应制造厂的要求，按常规注油维护。</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1.3.1.11.2</w:t>
      </w:r>
      <w:r>
        <w:rPr>
          <w:rFonts w:hint="eastAsia" w:ascii="仿宋" w:hAnsi="仿宋" w:eastAsia="仿宋" w:cs="仿宋"/>
          <w:b w:val="0"/>
          <w:bCs w:val="0"/>
          <w:sz w:val="28"/>
          <w:szCs w:val="28"/>
        </w:rPr>
        <w:t>对油质的要求</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（1）本汽轮机组所用的润滑油规定为32号汽轮机油，并加入防锈用复合添加剂。</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汽轮机油质应符合GB11120-1989 L-TSA汽轮机油的规定，所用润滑油应是均匀的精炼矿物油，它不许含有砂砾，无机酸碱、皂液、沥青、柏油脂和树状杂质，或其他会影响油质或对所接触金属有害的任何杂质。</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对汽轮机用油的正确保养将保证轴承、轴颈和油泵等不产生过度的磨损，所以必须作定期的油抽样分析以确定油的特性有否改变，如已改变应查明原因予以处理。</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（2）在汽轮机运行期间，检验油质时，允许的杂质水平按下表的规定。</w:t>
      </w:r>
    </w:p>
    <w:tbl>
      <w:tblPr>
        <w:tblStyle w:val="16"/>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7"/>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7"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杂质粒度尺寸（μ）</w:t>
            </w:r>
          </w:p>
        </w:tc>
        <w:tc>
          <w:tcPr>
            <w:tcW w:w="447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每100mL油样中允许的颗粒数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7"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5～10</w:t>
            </w:r>
          </w:p>
        </w:tc>
        <w:tc>
          <w:tcPr>
            <w:tcW w:w="4473"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7"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10～25</w:t>
            </w:r>
          </w:p>
        </w:tc>
        <w:tc>
          <w:tcPr>
            <w:tcW w:w="4473"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7"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25～100</w:t>
            </w:r>
          </w:p>
        </w:tc>
        <w:tc>
          <w:tcPr>
            <w:tcW w:w="4473"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7"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50～250</w:t>
            </w:r>
          </w:p>
        </w:tc>
        <w:tc>
          <w:tcPr>
            <w:tcW w:w="4473"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7"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100～250</w:t>
            </w:r>
          </w:p>
        </w:tc>
        <w:tc>
          <w:tcPr>
            <w:tcW w:w="4473"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7"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&gt;250</w:t>
            </w:r>
          </w:p>
        </w:tc>
        <w:tc>
          <w:tcPr>
            <w:tcW w:w="4473" w:type="dxa"/>
            <w:vAlign w:val="center"/>
          </w:tcPr>
          <w:p>
            <w:pPr>
              <w:pStyle w:val="22"/>
              <w:pageBreakBefore w:val="0"/>
              <w:kinsoku/>
              <w:wordWrap/>
              <w:topLinePunct w:val="0"/>
              <w:bidi w:val="0"/>
              <w:snapToGrid w:val="0"/>
              <w:spacing w:line="360" w:lineRule="auto"/>
              <w:ind w:firstLine="601"/>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无</w:t>
            </w:r>
          </w:p>
        </w:tc>
      </w:tr>
    </w:tbl>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1.3.1.11.3</w:t>
      </w:r>
      <w:r>
        <w:rPr>
          <w:rFonts w:hint="eastAsia" w:ascii="仿宋" w:hAnsi="仿宋" w:eastAsia="仿宋" w:cs="仿宋"/>
          <w:b w:val="0"/>
          <w:bCs w:val="0"/>
          <w:sz w:val="28"/>
          <w:szCs w:val="28"/>
        </w:rPr>
        <w:t>对油系统清洁度的要求</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在新机组安装后，油系统试运和油循环时油样（用150目油过滤器在最大流量下，置30min取样，然后清洗油过滤器，用200目滤网收集异物）应符合下列要求，油系统清洁度才是合格的。</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（1）没有大于0.25mm的硬颗粒，尺寸在0.125～0.25mm之间的硬颗粒总数不得大于5。</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（2）在冲洗期间通常要清除以下有害颗粒。</w:t>
      </w:r>
      <w:r>
        <w:rPr>
          <w:rFonts w:hint="eastAsia" w:ascii="仿宋" w:hAnsi="仿宋" w:eastAsia="仿宋" w:cs="仿宋"/>
          <w:b w:val="0"/>
          <w:bCs w:val="0"/>
          <w:sz w:val="28"/>
          <w:szCs w:val="28"/>
        </w:rPr>
        <w:tab/>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大粒积垢或铁锈焊珠或焊渣、砂、石、水泥或玻璃，包括焊条在内的任何种类金属碎屑、片布料、塑料或其它不会檫伤轴颈，但却会阻挡油在管内流动或堵住管孔的物质。</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（3）虽稍大于0.25mm，但却可认为是无害的颗粒是棉花、碎纸、锯屑、烟丝、石棉和能很快用手指捻碎的其它软性物质，这些颗粒也要去除。</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rPr>
      </w:pPr>
      <w:r>
        <w:rPr>
          <w:rFonts w:hint="eastAsia" w:ascii="仿宋" w:hAnsi="仿宋" w:eastAsia="仿宋" w:cs="仿宋"/>
          <w:b w:val="0"/>
          <w:bCs w:val="0"/>
          <w:sz w:val="28"/>
          <w:szCs w:val="28"/>
        </w:rPr>
        <w:t>如检查与分析的结果是洁净度不合格，则要继续让热油循环二小时后再收集油样，直至检查与分析合格。</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1.3.2维修备件</w:t>
      </w:r>
    </w:p>
    <w:tbl>
      <w:tblPr>
        <w:tblStyle w:val="16"/>
        <w:tblW w:w="931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2305"/>
        <w:gridCol w:w="4854"/>
        <w:gridCol w:w="695"/>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序号</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备件名称</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型号规格（代号）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单位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双头螺柱</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AM42x3x160 QQ/Z54025.02-1999</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罩螺母</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AM42x3 QQ/Z54026.02-2008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双头螺柱</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CM56x4x180 QQ/Z54025.02-2008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罩螺母</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BM56x4 QQ/Z54026.02-2008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双头螺柱</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AM30x110 QQ/Z54025.01-2008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罩螺母</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AM30 QQ/Z54026.01-2008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弹簧</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4-0600-4018-1100-00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安全膜板</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1-8003-0030-0000-00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块</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滤油网</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KB130.73.01.26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主汽门弹簧</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4-3001-4022-0712-00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内螺纹截止阀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J11T-16 DN25/G1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截止阀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J41H-16C DN40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截止阀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J41H-16C DN25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截止阀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J41H-25 DN20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截止阀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J41H-25 DN10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截止阀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J41H-25 DN15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截止阀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J41H-16C DN15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截止阀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J41H-16C DN32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19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截止阀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J41H-25 DN25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节流阀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L41H-16C PN1.6 DN50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对夹式止回阀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H71H-16C PN1.6 DN50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电磁阀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4WE6Y6X/EW220RNZ5L</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电磁阀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4WE10Y3X/CW220RNZ5L</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压力表截止阀</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J23W-64PDN10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压力表管接头</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QQ2504-2005 G14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无缝钢管</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Φ14 X2X5000 GB/T14976-2002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份</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压力表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Y-150 0~2.5MPa 1.6级 M20X1.5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压力表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Y-150 -0.1~0~0.15MPa 1.6级 M20X1.5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29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压力表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Y-150 0~0.6MPa 1.6级 M20×1.5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压力表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Y-150 0~1.6Mpa 1.6级 M20X1.5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压力表</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Y-150  0~0.25Mpa 1.6级 M20X1.5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压力表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Y-150 0~1.0MPa 1.6级 M20×1.5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双支热电偶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WRN2-631 0～500℃K分度 L=400 l=100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双支热电偶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WRKK2-221 0～500℃ K分度Φ8 L=250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双支热电阻</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WRN2-239  0～500℃ Pt100 L=250 l=50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双支热电阻</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WZP2K-533 0～150℃A级Pt100Φ8 L=250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温度计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WTY-1021 0～400℃ Φ10×100 HWM27×2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温度计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WTY-1021 0～300℃ Φ10×100 HWM27×2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39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温度计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WTY-1021 0～100℃ Φ10×75 HWM27×2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温度计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WTY-1033 0～150℃Φ10X150X10m KM27×2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 xml:space="preserve">温度计 </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WTY-1021 0～100℃ Φ10×100 KM27×2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温度计</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WTY-1021  0～100℃ Φ10×75 KM27×2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铂热电阻</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RT-102Z  L=7000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机械式压力开关</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MTDP-CX30AJ2DN1303 0～0.16MPa L1=40KPa</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机械式压力开关</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MTDP-CX30AJ2DN1303 0～0.16MPa L1=60KPa</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机械式压力开关</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MTDP-CX30AJ2DN1303 0～0.16MPa L1=70KPa</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行程开关</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MS330-11y-1366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接线端子箱</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ZXP1001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49</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数字转速表</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HZS-06 30齿 0～9999rpm</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套</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50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仪表电源</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HZD-8500B-DY</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51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转速监控模块</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HZD-8500B-ZS80-A3-B1-C1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52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轴位移监控模块</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HZD-8500B-WY81-A3-B2-C1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53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磁阻转速传感器</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SZCB-01-A00 L=60mm</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套</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54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金属软管</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6JRL80FPJF-500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55</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金属软管</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6JRL50FPJF-500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56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电加热器</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GYY4-220/8(220VAC 8KW)</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57</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补偿节</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轴向补偿10mm，横向补偿5mm，设计压力0.01Mpa(a)</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58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充气工具</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i w:val="0"/>
                <w:iCs w:val="0"/>
                <w:color w:val="000000"/>
                <w:kern w:val="0"/>
                <w:sz w:val="24"/>
                <w:szCs w:val="24"/>
                <w:u w:val="none"/>
                <w:lang w:val="en-US" w:eastAsia="zh-CN" w:bidi="ar"/>
              </w:rPr>
              <w:t>CQJ-2.5包含在蓄能器里</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u w:color="000000"/>
                <w:lang w:val="en-US" w:eastAsia="zh-CN" w:bidi="ar-SA"/>
              </w:rPr>
            </w:pPr>
            <w:r>
              <w:rPr>
                <w:rFonts w:hint="eastAsia" w:ascii="仿宋" w:hAnsi="仿宋" w:eastAsia="仿宋" w:cs="仿宋"/>
                <w:color w:val="auto"/>
                <w:kern w:val="2"/>
                <w:position w:val="-34"/>
                <w:sz w:val="24"/>
                <w:szCs w:val="24"/>
                <w:u w:color="000000"/>
                <w:lang w:val="en-US" w:eastAsia="zh-CN" w:bidi="ar-SA"/>
              </w:rPr>
              <w:t>只</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4"/>
                <w:szCs w:val="24"/>
                <w:lang w:val="en-US" w:eastAsia="zh-CN" w:bidi="ar-SA"/>
              </w:rPr>
            </w:pPr>
            <w:r>
              <w:rPr>
                <w:rFonts w:hint="eastAsia" w:ascii="仿宋" w:hAnsi="仿宋" w:eastAsia="仿宋" w:cs="仿宋"/>
                <w:color w:val="auto"/>
                <w:kern w:val="2"/>
                <w:position w:val="-34"/>
                <w:sz w:val="24"/>
                <w:szCs w:val="24"/>
                <w:lang w:val="en-US" w:eastAsia="zh-CN" w:bidi="ar-SA"/>
              </w:rPr>
              <w:t>1</w:t>
            </w:r>
          </w:p>
        </w:tc>
      </w:tr>
    </w:tbl>
    <w:p>
      <w:pPr>
        <w:pStyle w:val="22"/>
        <w:pageBreakBefore w:val="0"/>
        <w:kinsoku/>
        <w:wordWrap/>
        <w:topLinePunct w:val="0"/>
        <w:bidi w:val="0"/>
        <w:snapToGrid w:val="0"/>
        <w:spacing w:line="360" w:lineRule="auto"/>
        <w:ind w:left="0" w:leftChars="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1.3.2.1</w:t>
      </w:r>
      <w:r>
        <w:rPr>
          <w:rFonts w:hint="eastAsia" w:ascii="仿宋" w:hAnsi="仿宋" w:eastAsia="仿宋" w:cs="仿宋"/>
          <w:sz w:val="28"/>
          <w:szCs w:val="28"/>
          <w:lang w:val="en-US" w:eastAsia="zh-CN"/>
        </w:rPr>
        <w:t>维护保养期内，机组零部件发生故障或损坏，需更换新的备品备件时，维保方应向采购人报送需更换的备品清单，经采购人同意批准后方可更换。备件按需更换、按实结算，清单内的备件价格为汽轮机更换备件的综合价格，含税、工时费、车辆费、工具费等所有费用。</w:t>
      </w:r>
    </w:p>
    <w:p>
      <w:pPr>
        <w:pStyle w:val="22"/>
        <w:pageBreakBefore w:val="0"/>
        <w:kinsoku/>
        <w:wordWrap/>
        <w:topLinePunct w:val="0"/>
        <w:bidi w:val="0"/>
        <w:snapToGrid w:val="0"/>
        <w:spacing w:line="360" w:lineRule="auto"/>
        <w:ind w:left="0" w:leftChars="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1.3.2.2</w:t>
      </w:r>
      <w:r>
        <w:rPr>
          <w:rFonts w:hint="eastAsia" w:ascii="仿宋" w:hAnsi="仿宋" w:eastAsia="仿宋" w:cs="仿宋"/>
          <w:sz w:val="28"/>
          <w:szCs w:val="28"/>
          <w:lang w:val="en-US" w:eastAsia="zh-CN"/>
        </w:rPr>
        <w:t>清单之外的配件采购人有权自主选择采购单位，备件的安装、维修均由维保方承担，一般情况下工时费不另外支付，但若因维修工时超过24个工时，工时费双方协商解决。</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rPr>
      </w:pPr>
      <w:r>
        <w:rPr>
          <w:rFonts w:hint="eastAsia" w:ascii="仿宋" w:hAnsi="仿宋" w:eastAsia="仿宋" w:cs="仿宋"/>
          <w:b/>
          <w:bCs/>
          <w:sz w:val="28"/>
          <w:szCs w:val="28"/>
          <w:lang w:val="en-US" w:eastAsia="zh-CN"/>
        </w:rPr>
        <w:t>1.4</w:t>
      </w:r>
      <w:r>
        <w:rPr>
          <w:rFonts w:hint="eastAsia" w:ascii="仿宋" w:hAnsi="仿宋" w:eastAsia="仿宋" w:cs="仿宋"/>
          <w:b/>
          <w:bCs/>
          <w:sz w:val="28"/>
          <w:szCs w:val="28"/>
        </w:rPr>
        <w:t>服务要求</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1.4.1</w:t>
      </w:r>
      <w:r>
        <w:rPr>
          <w:rFonts w:hint="eastAsia" w:ascii="仿宋" w:hAnsi="仿宋" w:eastAsia="仿宋" w:cs="仿宋"/>
          <w:sz w:val="28"/>
          <w:szCs w:val="28"/>
          <w:lang w:eastAsia="zh-CN"/>
        </w:rPr>
        <w:t>机组运行期间，维保方指派相对固定的专业人员，对余热发电机组进行巡检（并记录各项数据）﹑维护保养，并由维保方提交一份有关维护保养的情况报告。协议包含的维保内容主要为每常规巡检保养，每月一次停机检查保养等（根据甲方停炉时间决定）；协议内涉及系统设备的维修由维保方负责，协议外涉及到的设备大修的需另行签订合同。</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1.4.2</w:t>
      </w:r>
      <w:r>
        <w:rPr>
          <w:rFonts w:hint="eastAsia" w:ascii="仿宋" w:hAnsi="仿宋" w:eastAsia="仿宋" w:cs="仿宋"/>
          <w:sz w:val="28"/>
          <w:szCs w:val="28"/>
          <w:lang w:eastAsia="zh-CN"/>
        </w:rPr>
        <w:t xml:space="preserve">运维包含的常规巡检保养内容包括检查机组的性能、运转状况及代客户更换协议范围内配件等。 </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1.4.3</w:t>
      </w:r>
      <w:r>
        <w:rPr>
          <w:rFonts w:hint="eastAsia" w:ascii="仿宋" w:hAnsi="仿宋" w:eastAsia="仿宋" w:cs="仿宋"/>
          <w:sz w:val="28"/>
          <w:szCs w:val="28"/>
          <w:lang w:eastAsia="zh-CN"/>
        </w:rPr>
        <w:t>应急维修：运维期间，机组运行出现故障时，维保方在接到采购人报修通知后，</w:t>
      </w: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小时内</w:t>
      </w:r>
      <w:r>
        <w:rPr>
          <w:rFonts w:hint="eastAsia" w:ascii="仿宋" w:hAnsi="仿宋" w:eastAsia="仿宋" w:cs="仿宋"/>
          <w:sz w:val="28"/>
          <w:szCs w:val="28"/>
          <w:lang w:eastAsia="zh-CN"/>
        </w:rPr>
        <w:t>到达现场对设备进行检修，需尽快安排人员过来维修，除了因为采购人原因系统停机外，汽轮机年度运行时间不少于8000小时，停机检修期间，维保方根据维修情况适时增派增加专业维修人员做好维修工作。</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1.4.4</w:t>
      </w:r>
      <w:r>
        <w:rPr>
          <w:rFonts w:hint="eastAsia" w:ascii="仿宋" w:hAnsi="仿宋" w:eastAsia="仿宋" w:cs="仿宋"/>
          <w:b/>
          <w:bCs/>
          <w:sz w:val="28"/>
          <w:szCs w:val="28"/>
          <w:lang w:eastAsia="zh-CN"/>
        </w:rPr>
        <w:t xml:space="preserve"> 特别约定：</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lang w:eastAsia="zh-CN"/>
        </w:rPr>
        <w:t>（1）采购人在报修通知维保方时应一并提供相关报警信息，以便于维保方工程师做准备。</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lang w:eastAsia="zh-CN"/>
        </w:rPr>
        <w:t>（2）维保方严格遵守采购人各项外来人员的规章制度和安全规程。维保方自行承担工作人员在维护工作中的安全责任。如果出现安全事故，一切后果由维保方自行承担。</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lang w:eastAsia="zh-CN"/>
        </w:rPr>
        <w:t>（3）维保方不承担外部坏境或因人为误操作、破坏等引起的直接与间接的损失后果。</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lang w:eastAsia="zh-CN"/>
        </w:rPr>
        <w:t>（4）维保方不承担因地震、火灾、雷击、战争等自然力量不可抗拒的灾害所造成的机器损坏。</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lang w:eastAsia="zh-CN"/>
        </w:rPr>
        <w:t>（5）维保方有义务协助采购人维修上述第（</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）条发生时所造成的损坏，双方另行协商修理费用。</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1.4.5</w:t>
      </w:r>
      <w:r>
        <w:rPr>
          <w:rFonts w:hint="eastAsia" w:ascii="仿宋" w:hAnsi="仿宋" w:eastAsia="仿宋" w:cs="仿宋"/>
          <w:b/>
          <w:bCs/>
          <w:sz w:val="28"/>
          <w:szCs w:val="28"/>
          <w:lang w:eastAsia="zh-CN"/>
        </w:rPr>
        <w:t>质保协议</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lang w:eastAsia="zh-CN"/>
        </w:rPr>
        <w:t>汽轮机原有的质保条款（2年）由维保方承担，维保方负责汽轮机质保件的质保，质保件出现问题，维保方负责联系原有厂家沟通汽轮机的质保，质保件以外的根据易损件清单报价按实结算。</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1.4.6</w:t>
      </w:r>
      <w:r>
        <w:rPr>
          <w:rFonts w:hint="eastAsia" w:ascii="仿宋" w:hAnsi="仿宋" w:eastAsia="仿宋" w:cs="仿宋"/>
          <w:sz w:val="28"/>
          <w:szCs w:val="28"/>
          <w:lang w:eastAsia="zh-CN"/>
        </w:rPr>
        <w:t>维保方对采购人提供的所有业务技术资料、文档，有责任对第三方保密。</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1.4.7</w:t>
      </w:r>
      <w:r>
        <w:rPr>
          <w:rFonts w:hint="eastAsia" w:ascii="仿宋" w:hAnsi="仿宋" w:eastAsia="仿宋" w:cs="仿宋"/>
          <w:sz w:val="28"/>
          <w:szCs w:val="28"/>
          <w:lang w:eastAsia="zh-CN"/>
        </w:rPr>
        <w:t>维保方在服务过程中涉及第三方产品（报价人提供的），若出现技术、经济或法律上的纠纷，应由维保方全面承担并全权解决，确保不影响项目的进度。</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lang w:eastAsia="zh-CN"/>
        </w:rPr>
        <w:t>验收标准</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lang w:eastAsia="zh-CN"/>
        </w:rPr>
        <w:t>1</w:t>
      </w:r>
      <w:r>
        <w:rPr>
          <w:rFonts w:hint="eastAsia" w:ascii="仿宋" w:hAnsi="仿宋" w:eastAsia="仿宋" w:cs="仿宋"/>
          <w:sz w:val="28"/>
          <w:szCs w:val="28"/>
          <w:lang w:eastAsia="zh-CN"/>
        </w:rPr>
        <w:t>维保方在每次进行保养或维修服务时需要有采购人陪同，采购人对照维保方案现场检查项目是否符合采购人要求，双方在维保确认单上签字确认后验收合格。</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lang w:eastAsia="zh-CN"/>
        </w:rPr>
        <w:t>2</w:t>
      </w:r>
      <w:r>
        <w:rPr>
          <w:rFonts w:hint="eastAsia" w:ascii="仿宋" w:hAnsi="仿宋" w:eastAsia="仿宋" w:cs="仿宋"/>
          <w:sz w:val="28"/>
          <w:szCs w:val="28"/>
          <w:lang w:eastAsia="zh-CN"/>
        </w:rPr>
        <w:t>配件质保期为约定设备维修完成验收合格之日起六个月，六个月内同台设备出现相同故障由维保方免费更换所用的配件并维修。</w:t>
      </w:r>
    </w:p>
    <w:p>
      <w:pPr>
        <w:pageBreakBefore w:val="0"/>
        <w:kinsoku/>
        <w:wordWrap/>
        <w:topLinePunct w:val="0"/>
        <w:bidi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1.6</w:t>
      </w:r>
      <w:r>
        <w:rPr>
          <w:rFonts w:hint="eastAsia" w:ascii="仿宋" w:hAnsi="仿宋" w:eastAsia="仿宋" w:cs="仿宋"/>
          <w:b/>
          <w:bCs/>
          <w:sz w:val="28"/>
          <w:szCs w:val="28"/>
        </w:rPr>
        <w:t>维保费用计算方式</w:t>
      </w:r>
    </w:p>
    <w:p>
      <w:pPr>
        <w:pageBreakBefore w:val="0"/>
        <w:kinsoku/>
        <w:wordWrap/>
        <w:topLinePunct w:val="0"/>
        <w:bidi w:val="0"/>
        <w:spacing w:line="360" w:lineRule="auto"/>
        <w:ind w:firstLine="562" w:firstLineChars="200"/>
        <w:jc w:val="left"/>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1.6.1</w:t>
      </w:r>
      <w:r>
        <w:rPr>
          <w:rFonts w:hint="eastAsia" w:ascii="仿宋" w:hAnsi="仿宋" w:eastAsia="仿宋" w:cs="仿宋"/>
          <w:sz w:val="28"/>
          <w:szCs w:val="28"/>
          <w:lang w:val="en-US" w:eastAsia="zh-CN"/>
        </w:rPr>
        <w:t>常规检查</w:t>
      </w:r>
      <w:r>
        <w:rPr>
          <w:rFonts w:hint="eastAsia" w:ascii="仿宋" w:hAnsi="仿宋" w:eastAsia="仿宋" w:cs="仿宋"/>
          <w:sz w:val="28"/>
          <w:szCs w:val="28"/>
        </w:rPr>
        <w:t>按实际维保次数支付维保费</w:t>
      </w:r>
      <w:r>
        <w:rPr>
          <w:rFonts w:hint="eastAsia" w:ascii="仿宋" w:hAnsi="仿宋" w:eastAsia="仿宋" w:cs="仿宋"/>
          <w:sz w:val="28"/>
          <w:szCs w:val="28"/>
          <w:lang w:eastAsia="zh-CN"/>
        </w:rPr>
        <w:t>；</w:t>
      </w:r>
    </w:p>
    <w:p>
      <w:pPr>
        <w:pageBreakBefore w:val="0"/>
        <w:kinsoku/>
        <w:wordWrap/>
        <w:topLinePunct w:val="0"/>
        <w:bidi w:val="0"/>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val="en-US" w:eastAsia="zh-CN"/>
        </w:rPr>
        <w:t>1.6.2</w:t>
      </w:r>
      <w:r>
        <w:rPr>
          <w:rFonts w:hint="eastAsia" w:ascii="仿宋" w:hAnsi="仿宋" w:eastAsia="仿宋" w:cs="仿宋"/>
          <w:sz w:val="28"/>
          <w:szCs w:val="28"/>
          <w:lang w:val="en-US" w:eastAsia="zh-CN"/>
        </w:rPr>
        <w:t>常规检查</w:t>
      </w:r>
      <w:r>
        <w:rPr>
          <w:rFonts w:hint="eastAsia" w:ascii="仿宋" w:hAnsi="仿宋" w:eastAsia="仿宋" w:cs="仿宋"/>
          <w:sz w:val="28"/>
          <w:szCs w:val="28"/>
        </w:rPr>
        <w:t>费包含</w:t>
      </w:r>
      <w:r>
        <w:rPr>
          <w:rFonts w:hint="eastAsia" w:ascii="仿宋" w:hAnsi="仿宋" w:eastAsia="仿宋" w:cs="仿宋"/>
          <w:sz w:val="28"/>
          <w:szCs w:val="28"/>
          <w:lang w:eastAsia="zh-CN"/>
        </w:rPr>
        <w:t>了所有工时费</w:t>
      </w:r>
      <w:r>
        <w:rPr>
          <w:rFonts w:hint="eastAsia" w:ascii="仿宋" w:hAnsi="仿宋" w:eastAsia="仿宋" w:cs="仿宋"/>
          <w:sz w:val="28"/>
          <w:szCs w:val="28"/>
        </w:rPr>
        <w:t>、技术服务费、检测调试费、交通费、工具费、运输费、管理费、税费等维保过程中产生的一切费用。</w:t>
      </w:r>
    </w:p>
    <w:p>
      <w:pPr>
        <w:pStyle w:val="2"/>
        <w:pageBreakBefore w:val="0"/>
        <w:kinsoku/>
        <w:wordWrap/>
        <w:topLinePunct w:val="0"/>
        <w:bidi w:val="0"/>
        <w:spacing w:line="360" w:lineRule="auto"/>
        <w:ind w:firstLine="560" w:firstLineChars="200"/>
        <w:rPr>
          <w:rFonts w:hint="eastAsia" w:ascii="仿宋" w:hAnsi="仿宋" w:eastAsia="仿宋" w:cs="仿宋"/>
          <w:lang w:val="en-US" w:eastAsia="zh-CN"/>
        </w:rPr>
      </w:pPr>
      <w:r>
        <w:rPr>
          <w:rFonts w:hint="eastAsia" w:ascii="仿宋" w:hAnsi="仿宋" w:eastAsia="仿宋" w:cs="仿宋"/>
          <w:b w:val="0"/>
          <w:caps w:val="0"/>
          <w:kern w:val="2"/>
          <w:sz w:val="28"/>
          <w:szCs w:val="28"/>
          <w:lang w:val="en-US" w:eastAsia="zh-CN" w:bidi="ar-SA"/>
        </w:rPr>
        <w:t>1.6.3</w:t>
      </w:r>
      <w:r>
        <w:rPr>
          <w:rFonts w:hint="eastAsia" w:ascii="仿宋" w:hAnsi="仿宋" w:eastAsia="仿宋" w:cs="仿宋"/>
          <w:b/>
          <w:bCs/>
          <w:caps w:val="0"/>
          <w:kern w:val="2"/>
          <w:sz w:val="28"/>
          <w:szCs w:val="28"/>
          <w:lang w:val="en-US" w:eastAsia="zh-CN" w:bidi="ar-SA"/>
        </w:rPr>
        <w:t>配件由采购人提供，安装、维修由维保方承担，一般情况下工时费不另外支付，但若因维修工时超过24个工时，工时费双方协商解决</w:t>
      </w:r>
      <w:r>
        <w:rPr>
          <w:rFonts w:hint="eastAsia" w:ascii="仿宋" w:hAnsi="仿宋" w:eastAsia="仿宋" w:cs="仿宋"/>
          <w:b w:val="0"/>
          <w:caps w:val="0"/>
          <w:kern w:val="2"/>
          <w:sz w:val="28"/>
          <w:szCs w:val="28"/>
          <w:lang w:val="en-US" w:eastAsia="zh-CN" w:bidi="ar-SA"/>
        </w:rPr>
        <w:t>。</w:t>
      </w:r>
    </w:p>
    <w:p>
      <w:pPr>
        <w:pageBreakBefore w:val="0"/>
        <w:kinsoku/>
        <w:wordWrap/>
        <w:topLinePunct w:val="0"/>
        <w:bidi w:val="0"/>
        <w:spacing w:line="360" w:lineRule="auto"/>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二、付款方式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 xml:space="preserve">每3个月为一个付款周期，第四个月的时候支付前一个付款周期款项。采购人提供经双方确认的服务清单及增值税专用发票，采购人自收到准确清单和发票后，于30天内完成费用支付。现场更换的备件费用按实结算。 </w:t>
      </w:r>
    </w:p>
    <w:p>
      <w:pPr>
        <w:pStyle w:val="3"/>
        <w:pageBreakBefore w:val="0"/>
        <w:numPr>
          <w:ilvl w:val="0"/>
          <w:numId w:val="0"/>
        </w:numPr>
        <w:kinsoku/>
        <w:wordWrap/>
        <w:topLinePunct w:val="0"/>
        <w:bidi w:val="0"/>
        <w:spacing w:line="360" w:lineRule="auto"/>
        <w:jc w:val="center"/>
        <w:rPr>
          <w:rFonts w:hint="eastAsia" w:ascii="仿宋" w:hAnsi="仿宋" w:eastAsia="仿宋" w:cs="仿宋"/>
          <w:snapToGrid w:val="0"/>
          <w:sz w:val="44"/>
          <w:szCs w:val="44"/>
        </w:rPr>
      </w:pPr>
      <w:bookmarkStart w:id="19" w:name="_Toc530583924"/>
      <w:r>
        <w:rPr>
          <w:rFonts w:hint="eastAsia" w:ascii="仿宋" w:hAnsi="仿宋" w:eastAsia="仿宋" w:cs="仿宋"/>
          <w:color w:val="auto"/>
          <w:kern w:val="2"/>
          <w:sz w:val="28"/>
          <w:szCs w:val="28"/>
          <w:lang w:val="en-US" w:eastAsia="zh-CN" w:bidi="ar-SA"/>
        </w:rPr>
        <w:br w:type="page"/>
      </w:r>
      <w:r>
        <w:rPr>
          <w:rFonts w:hint="eastAsia" w:ascii="仿宋" w:hAnsi="仿宋" w:eastAsia="仿宋" w:cs="仿宋"/>
          <w:snapToGrid w:val="0"/>
          <w:sz w:val="44"/>
          <w:szCs w:val="44"/>
        </w:rPr>
        <w:t>第四部分    报价文件格式</w:t>
      </w:r>
      <w:bookmarkEnd w:id="19"/>
    </w:p>
    <w:p>
      <w:pPr>
        <w:pageBreakBefore w:val="0"/>
        <w:kinsoku/>
        <w:wordWrap/>
        <w:topLinePunct w:val="0"/>
        <w:bidi w:val="0"/>
        <w:spacing w:line="360" w:lineRule="auto"/>
        <w:jc w:val="left"/>
        <w:rPr>
          <w:rFonts w:hint="eastAsia" w:ascii="仿宋" w:hAnsi="仿宋" w:eastAsia="仿宋" w:cs="仿宋"/>
          <w:b/>
          <w:sz w:val="28"/>
        </w:rPr>
      </w:pPr>
      <w:r>
        <w:rPr>
          <w:rStyle w:val="23"/>
          <w:rFonts w:hint="eastAsia" w:ascii="仿宋" w:hAnsi="仿宋" w:eastAsia="仿宋" w:cs="仿宋"/>
          <w:sz w:val="30"/>
        </w:rPr>
        <w:t>附件一：</w:t>
      </w:r>
    </w:p>
    <w:p>
      <w:pPr>
        <w:pageBreakBefore w:val="0"/>
        <w:kinsoku/>
        <w:wordWrap/>
        <w:topLinePunct w:val="0"/>
        <w:bidi w:val="0"/>
        <w:spacing w:line="360" w:lineRule="auto"/>
        <w:jc w:val="right"/>
        <w:rPr>
          <w:rFonts w:hint="eastAsia" w:ascii="仿宋" w:hAnsi="仿宋" w:eastAsia="仿宋" w:cs="仿宋"/>
          <w:sz w:val="32"/>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jc w:val="center"/>
        <w:rPr>
          <w:rFonts w:hint="eastAsia" w:ascii="仿宋" w:hAnsi="仿宋" w:eastAsia="仿宋" w:cs="仿宋"/>
          <w:sz w:val="52"/>
          <w:lang w:eastAsia="zh-CN"/>
        </w:rPr>
      </w:pPr>
      <w:r>
        <w:rPr>
          <w:rFonts w:hint="eastAsia" w:ascii="仿宋" w:hAnsi="仿宋" w:eastAsia="仿宋" w:cs="仿宋"/>
          <w:sz w:val="52"/>
          <w:lang w:val="en-US" w:eastAsia="zh-CN"/>
        </w:rPr>
        <w:t>2023年</w:t>
      </w:r>
      <w:r>
        <w:rPr>
          <w:rFonts w:hint="eastAsia" w:ascii="仿宋" w:hAnsi="仿宋" w:eastAsia="仿宋" w:cs="仿宋"/>
          <w:sz w:val="52"/>
        </w:rPr>
        <w:t>临江公司</w:t>
      </w:r>
      <w:r>
        <w:rPr>
          <w:rFonts w:hint="eastAsia" w:ascii="仿宋" w:hAnsi="仿宋" w:eastAsia="仿宋" w:cs="仿宋"/>
          <w:sz w:val="52"/>
          <w:lang w:eastAsia="zh-CN"/>
        </w:rPr>
        <w:t>汽轮机</w:t>
      </w:r>
      <w:r>
        <w:rPr>
          <w:rFonts w:hint="eastAsia" w:ascii="仿宋" w:hAnsi="仿宋" w:eastAsia="仿宋" w:cs="仿宋"/>
          <w:sz w:val="52"/>
        </w:rPr>
        <w:t>维保</w:t>
      </w:r>
      <w:r>
        <w:rPr>
          <w:rFonts w:hint="eastAsia" w:ascii="仿宋" w:hAnsi="仿宋" w:eastAsia="仿宋" w:cs="仿宋"/>
          <w:sz w:val="52"/>
          <w:lang w:eastAsia="zh-CN"/>
        </w:rPr>
        <w:t>服务</w:t>
      </w:r>
    </w:p>
    <w:p>
      <w:pPr>
        <w:pageBreakBefore w:val="0"/>
        <w:kinsoku/>
        <w:wordWrap/>
        <w:topLinePunct w:val="0"/>
        <w:bidi w:val="0"/>
        <w:spacing w:line="360" w:lineRule="auto"/>
        <w:jc w:val="center"/>
        <w:rPr>
          <w:rFonts w:hint="eastAsia" w:ascii="仿宋" w:hAnsi="仿宋" w:eastAsia="仿宋" w:cs="仿宋"/>
          <w:sz w:val="52"/>
        </w:rPr>
      </w:pPr>
      <w:r>
        <w:rPr>
          <w:rFonts w:hint="eastAsia" w:ascii="仿宋" w:hAnsi="仿宋" w:eastAsia="仿宋" w:cs="仿宋"/>
          <w:sz w:val="52"/>
        </w:rPr>
        <w:t>采购项目</w:t>
      </w:r>
    </w:p>
    <w:p>
      <w:pPr>
        <w:pageBreakBefore w:val="0"/>
        <w:kinsoku/>
        <w:wordWrap/>
        <w:topLinePunct w:val="0"/>
        <w:bidi w:val="0"/>
        <w:spacing w:line="360" w:lineRule="auto"/>
        <w:jc w:val="center"/>
        <w:rPr>
          <w:rFonts w:hint="default" w:ascii="仿宋" w:hAnsi="仿宋" w:eastAsia="仿宋" w:cs="仿宋"/>
          <w:sz w:val="52"/>
          <w:lang w:val="en-US" w:eastAsia="zh-CN"/>
        </w:rPr>
      </w:pPr>
    </w:p>
    <w:p>
      <w:pPr>
        <w:pageBreakBefore w:val="0"/>
        <w:kinsoku/>
        <w:wordWrap/>
        <w:topLinePunct w:val="0"/>
        <w:bidi w:val="0"/>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202305006</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pacing w:line="360" w:lineRule="auto"/>
        <w:jc w:val="center"/>
        <w:rPr>
          <w:rFonts w:hint="eastAsia" w:ascii="仿宋" w:hAnsi="仿宋" w:eastAsia="仿宋" w:cs="仿宋"/>
          <w:sz w:val="84"/>
        </w:rPr>
      </w:pPr>
      <w:r>
        <w:rPr>
          <w:rFonts w:hint="eastAsia" w:ascii="仿宋" w:hAnsi="仿宋" w:eastAsia="仿宋" w:cs="仿宋"/>
          <w:sz w:val="84"/>
        </w:rPr>
        <w:t>报价文件</w:t>
      </w: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both"/>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36"/>
        </w:rPr>
      </w:pPr>
      <w:r>
        <w:rPr>
          <w:rFonts w:hint="eastAsia" w:ascii="仿宋" w:hAnsi="仿宋" w:eastAsia="仿宋" w:cs="仿宋"/>
          <w:sz w:val="36"/>
        </w:rPr>
        <w:t>报价单位全称</w:t>
      </w:r>
    </w:p>
    <w:p>
      <w:pPr>
        <w:pageBreakBefore w:val="0"/>
        <w:kinsoku/>
        <w:wordWrap/>
        <w:topLinePunct w:val="0"/>
        <w:bidi w:val="0"/>
        <w:spacing w:line="360" w:lineRule="auto"/>
        <w:ind w:firstLine="3240" w:firstLineChars="900"/>
        <w:rPr>
          <w:rStyle w:val="23"/>
          <w:rFonts w:hint="eastAsia" w:ascii="仿宋" w:hAnsi="仿宋" w:eastAsia="仿宋" w:cs="仿宋"/>
          <w:sz w:val="30"/>
        </w:rPr>
      </w:pPr>
      <w:r>
        <w:rPr>
          <w:rFonts w:hint="eastAsia" w:ascii="仿宋" w:hAnsi="仿宋" w:eastAsia="仿宋" w:cs="仿宋"/>
          <w:sz w:val="36"/>
          <w:lang w:val="en-US" w:eastAsia="zh-CN"/>
        </w:rPr>
        <w:t xml:space="preserve">2023年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23"/>
          <w:rFonts w:hint="eastAsia" w:ascii="仿宋" w:hAnsi="仿宋" w:eastAsia="仿宋" w:cs="仿宋"/>
          <w:sz w:val="30"/>
        </w:rPr>
        <w:br w:type="page"/>
      </w:r>
      <w:r>
        <w:rPr>
          <w:rStyle w:val="23"/>
          <w:rFonts w:hint="eastAsia" w:ascii="仿宋" w:hAnsi="仿宋" w:eastAsia="仿宋" w:cs="仿宋"/>
          <w:sz w:val="30"/>
        </w:rPr>
        <w:t>附件二</w:t>
      </w:r>
    </w:p>
    <w:p>
      <w:pPr>
        <w:pageBreakBefore w:val="0"/>
        <w:kinsoku/>
        <w:wordWrap/>
        <w:topLinePunct w:val="0"/>
        <w:bidi w:val="0"/>
        <w:spacing w:line="360" w:lineRule="auto"/>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pageBreakBefore w:val="0"/>
        <w:kinsoku/>
        <w:wordWrap/>
        <w:topLinePunct w:val="0"/>
        <w:bidi w:val="0"/>
        <w:spacing w:line="360" w:lineRule="auto"/>
        <w:ind w:left="540" w:leftChars="257" w:firstLine="2920" w:firstLineChars="808"/>
        <w:rPr>
          <w:rFonts w:hint="eastAsia" w:ascii="仿宋" w:hAnsi="仿宋" w:eastAsia="仿宋" w:cs="仿宋"/>
          <w:b/>
          <w:sz w:val="36"/>
        </w:rPr>
      </w:pPr>
    </w:p>
    <w:p>
      <w:pPr>
        <w:pageBreakBefore w:val="0"/>
        <w:kinsoku/>
        <w:wordWrap/>
        <w:topLinePunct w:val="0"/>
        <w:bidi w:val="0"/>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pageBreakBefore w:val="0"/>
        <w:kinsoku/>
        <w:wordWrap/>
        <w:topLinePunct w:val="0"/>
        <w:bidi w:val="0"/>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eastAsia="zh-CN"/>
        </w:rPr>
        <w:t>2023年</w:t>
      </w:r>
      <w:r>
        <w:rPr>
          <w:rFonts w:hint="eastAsia" w:ascii="仿宋" w:hAnsi="仿宋" w:eastAsia="仿宋" w:cs="仿宋"/>
          <w:sz w:val="30"/>
          <w:u w:val="single"/>
        </w:rPr>
        <w:t>临江公司</w:t>
      </w:r>
      <w:r>
        <w:rPr>
          <w:rFonts w:hint="eastAsia" w:ascii="仿宋" w:hAnsi="仿宋" w:eastAsia="仿宋" w:cs="仿宋"/>
          <w:sz w:val="30"/>
          <w:u w:val="single"/>
          <w:lang w:eastAsia="zh-CN"/>
        </w:rPr>
        <w:t>汽轮机维保服务采购</w:t>
      </w:r>
      <w:r>
        <w:rPr>
          <w:rFonts w:hint="eastAsia" w:ascii="仿宋" w:hAnsi="仿宋" w:eastAsia="仿宋" w:cs="仿宋"/>
          <w:sz w:val="30"/>
          <w:u w:val="single"/>
        </w:rPr>
        <w:t>(</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202305006</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rPr>
        <w:t>。</w:t>
      </w:r>
    </w:p>
    <w:p>
      <w:pPr>
        <w:pageBreakBefore w:val="0"/>
        <w:kinsoku/>
        <w:wordWrap/>
        <w:topLinePunct w:val="0"/>
        <w:bidi w:val="0"/>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pageBreakBefore w:val="0"/>
        <w:kinsoku/>
        <w:wordWrap/>
        <w:topLinePunct w:val="0"/>
        <w:bidi w:val="0"/>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pageBreakBefore w:val="0"/>
        <w:kinsoku/>
        <w:wordWrap/>
        <w:topLinePunct w:val="0"/>
        <w:bidi w:val="0"/>
        <w:spacing w:line="360" w:lineRule="auto"/>
        <w:ind w:left="540" w:firstLine="30"/>
        <w:jc w:val="left"/>
        <w:rPr>
          <w:rFonts w:hint="eastAsia" w:ascii="仿宋" w:hAnsi="仿宋" w:eastAsia="仿宋" w:cs="仿宋"/>
          <w:snapToGrid w:val="0"/>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pageBreakBefore w:val="0"/>
        <w:kinsoku/>
        <w:wordWrap/>
        <w:topLinePunct w:val="0"/>
        <w:bidi w:val="0"/>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pageBreakBefore w:val="0"/>
        <w:kinsoku/>
        <w:wordWrap/>
        <w:topLinePunct w:val="0"/>
        <w:bidi w:val="0"/>
        <w:adjustRightInd w:val="0"/>
        <w:snapToGrid w:val="0"/>
        <w:spacing w:line="360" w:lineRule="auto"/>
        <w:ind w:right="480"/>
        <w:jc w:val="left"/>
        <w:rPr>
          <w:rStyle w:val="23"/>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23"/>
          <w:rFonts w:hint="eastAsia" w:ascii="仿宋" w:hAnsi="仿宋" w:eastAsia="仿宋" w:cs="仿宋"/>
          <w:sz w:val="30"/>
        </w:rPr>
      </w:pPr>
      <w:r>
        <w:rPr>
          <w:rStyle w:val="23"/>
          <w:rFonts w:hint="eastAsia" w:ascii="仿宋" w:hAnsi="仿宋" w:eastAsia="仿宋" w:cs="仿宋"/>
          <w:sz w:val="30"/>
        </w:rPr>
        <w:t xml:space="preserve">附件三  </w:t>
      </w:r>
    </w:p>
    <w:p>
      <w:pPr>
        <w:pageBreakBefore w:val="0"/>
        <w:kinsoku/>
        <w:wordWrap/>
        <w:topLinePunct w:val="0"/>
        <w:bidi w:val="0"/>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4"/>
        <w:pageBreakBefore w:val="0"/>
        <w:kinsoku/>
        <w:wordWrap/>
        <w:topLinePunct w:val="0"/>
        <w:bidi w:val="0"/>
        <w:snapToGrid w:val="0"/>
        <w:spacing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杭州临江环境能源有限公司：</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 xml:space="preserve">根据贵单位询价文件要求，参加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eastAsia="zh-CN"/>
        </w:rPr>
        <w:t>汽轮机维保服务采购，</w:t>
      </w:r>
      <w:r>
        <w:rPr>
          <w:rFonts w:hint="eastAsia" w:ascii="仿宋" w:hAnsi="仿宋" w:eastAsia="仿宋" w:cs="仿宋"/>
          <w:sz w:val="28"/>
          <w:szCs w:val="28"/>
          <w:lang w:eastAsia="zh-CN"/>
        </w:rPr>
        <w:t>总限额为</w:t>
      </w:r>
      <w:r>
        <w:rPr>
          <w:rFonts w:hint="eastAsia" w:ascii="仿宋" w:hAnsi="仿宋" w:eastAsia="仿宋" w:cs="仿宋"/>
          <w:sz w:val="28"/>
          <w:szCs w:val="28"/>
          <w:u w:val="single"/>
          <w:lang w:val="en-US" w:eastAsia="zh-CN"/>
        </w:rPr>
        <w:t>15.3</w:t>
      </w:r>
      <w:r>
        <w:rPr>
          <w:rFonts w:hint="eastAsia" w:ascii="仿宋" w:hAnsi="仿宋" w:eastAsia="仿宋" w:cs="仿宋"/>
          <w:sz w:val="28"/>
          <w:szCs w:val="28"/>
          <w:lang w:val="en-US" w:eastAsia="zh-CN"/>
        </w:rPr>
        <w:t>万元，本次</w:t>
      </w:r>
      <w:r>
        <w:rPr>
          <w:rFonts w:hint="eastAsia" w:ascii="仿宋" w:hAnsi="仿宋" w:eastAsia="仿宋" w:cs="仿宋"/>
          <w:sz w:val="28"/>
          <w:szCs w:val="28"/>
        </w:rPr>
        <w:t>报价</w:t>
      </w:r>
      <w:r>
        <w:rPr>
          <w:rFonts w:hint="eastAsia" w:ascii="仿宋" w:hAnsi="仿宋" w:eastAsia="仿宋" w:cs="仿宋"/>
          <w:sz w:val="28"/>
          <w:szCs w:val="28"/>
          <w:lang w:eastAsia="zh-CN"/>
        </w:rPr>
        <w:t>总金额为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元，具体</w:t>
      </w:r>
      <w:r>
        <w:rPr>
          <w:rFonts w:hint="eastAsia" w:ascii="仿宋" w:hAnsi="仿宋" w:eastAsia="仿宋" w:cs="仿宋"/>
          <w:sz w:val="28"/>
          <w:szCs w:val="28"/>
        </w:rPr>
        <w:t>如下</w:t>
      </w:r>
      <w:r>
        <w:rPr>
          <w:rFonts w:hint="eastAsia" w:ascii="仿宋" w:hAnsi="仿宋" w:eastAsia="仿宋" w:cs="仿宋"/>
          <w:sz w:val="28"/>
          <w:szCs w:val="28"/>
          <w:lang w:eastAsia="zh-CN"/>
        </w:rPr>
        <w:t>：</w:t>
      </w:r>
    </w:p>
    <w:tbl>
      <w:tblPr>
        <w:tblStyle w:val="17"/>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36"/>
        <w:gridCol w:w="894"/>
        <w:gridCol w:w="1087"/>
        <w:gridCol w:w="1100"/>
        <w:gridCol w:w="713"/>
        <w:gridCol w:w="3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单价（元）</w:t>
            </w: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金额（元）</w:t>
            </w: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税率</w:t>
            </w: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常规检查</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52次</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具体内容详见第三部分询价内容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年度小修</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1次</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具体内容详见第三部分询价内容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3</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维修备件</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详见附后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4</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合计</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r>
    </w:tbl>
    <w:p>
      <w:pPr>
        <w:pStyle w:val="22"/>
        <w:pageBreakBefore w:val="0"/>
        <w:kinsoku/>
        <w:wordWrap/>
        <w:topLinePunct w:val="0"/>
        <w:bidi w:val="0"/>
        <w:snapToGrid w:val="0"/>
        <w:spacing w:line="360" w:lineRule="auto"/>
        <w:ind w:left="0" w:leftChars="0" w:firstLine="0" w:firstLineChars="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p>
      <w:pPr>
        <w:pStyle w:val="22"/>
        <w:pageBreakBefore w:val="0"/>
        <w:numPr>
          <w:ilvl w:val="0"/>
          <w:numId w:val="0"/>
        </w:numPr>
        <w:kinsoku/>
        <w:wordWrap/>
        <w:topLinePunct w:val="0"/>
        <w:bidi w:val="0"/>
        <w:snapToGrid w:val="0"/>
        <w:spacing w:line="360" w:lineRule="auto"/>
        <w:ind w:left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1.根据实际发生的维保次数结算费用。维保服务期限为1年，在服务期限内价格不做调整。</w:t>
      </w:r>
    </w:p>
    <w:p>
      <w:pPr>
        <w:pStyle w:val="22"/>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2.维保费单价包含了技术服务费、检测调试费、交通费、工具费、运输费、管理费、工时费、税费等维保过程中产生的一切费用。</w:t>
      </w:r>
    </w:p>
    <w:p>
      <w:pPr>
        <w:pageBreakBefore w:val="0"/>
        <w:kinsoku/>
        <w:wordWrap/>
        <w:topLinePunct w:val="0"/>
        <w:bidi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ageBreakBefore w:val="0"/>
        <w:kinsoku/>
        <w:wordWrap/>
        <w:topLinePunct w:val="0"/>
        <w:bidi w:val="0"/>
        <w:snapToGrid w:val="0"/>
        <w:spacing w:line="360" w:lineRule="auto"/>
        <w:ind w:firstLine="480" w:firstLineChars="200"/>
        <w:rPr>
          <w:rFonts w:hint="eastAsia" w:ascii="仿宋" w:hAnsi="仿宋" w:eastAsia="仿宋" w:cs="仿宋"/>
          <w:sz w:val="24"/>
          <w:szCs w:val="24"/>
          <w:lang w:eastAsia="zh-CN"/>
        </w:rPr>
      </w:pPr>
    </w:p>
    <w:p>
      <w:pPr>
        <w:pageBreakBefore w:val="0"/>
        <w:kinsoku/>
        <w:wordWrap/>
        <w:topLinePunct w:val="0"/>
        <w:bidi w:val="0"/>
        <w:snapToGrid w:val="0"/>
        <w:spacing w:line="360" w:lineRule="auto"/>
        <w:ind w:firstLine="480" w:firstLineChars="200"/>
        <w:rPr>
          <w:rFonts w:hint="eastAsia" w:ascii="仿宋" w:hAnsi="仿宋" w:eastAsia="仿宋" w:cs="仿宋"/>
          <w:sz w:val="24"/>
          <w:szCs w:val="24"/>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2023年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jc w:val="center"/>
        <w:rPr>
          <w:rStyle w:val="23"/>
          <w:rFonts w:hint="eastAsia" w:ascii="仿宋_GB2312" w:hAnsi="Times New Roman" w:eastAsia="仿宋_GB2312" w:cs="Times New Roman"/>
          <w:caps/>
          <w:color w:val="auto"/>
          <w:kern w:val="2"/>
          <w:sz w:val="32"/>
          <w:szCs w:val="32"/>
          <w:highlight w:val="none"/>
          <w:lang w:eastAsia="zh-CN" w:bidi="ar-SA"/>
        </w:rPr>
      </w:pPr>
      <w:r>
        <w:rPr>
          <w:rStyle w:val="23"/>
          <w:rFonts w:hint="eastAsia" w:ascii="仿宋_GB2312" w:eastAsia="仿宋_GB2312" w:cs="Times New Roman"/>
          <w:caps/>
          <w:color w:val="auto"/>
          <w:kern w:val="2"/>
          <w:sz w:val="32"/>
          <w:szCs w:val="32"/>
          <w:highlight w:val="none"/>
          <w:lang w:val="en-US" w:eastAsia="zh-CN" w:bidi="ar-SA"/>
        </w:rPr>
        <w:t>汽轮机维保备件采购</w:t>
      </w:r>
      <w:r>
        <w:rPr>
          <w:rStyle w:val="23"/>
          <w:rFonts w:hint="eastAsia" w:ascii="仿宋_GB2312" w:hAnsi="Times New Roman" w:eastAsia="仿宋_GB2312" w:cs="Times New Roman"/>
          <w:caps/>
          <w:color w:val="auto"/>
          <w:kern w:val="2"/>
          <w:sz w:val="32"/>
          <w:szCs w:val="32"/>
          <w:highlight w:val="none"/>
          <w:lang w:eastAsia="zh-CN" w:bidi="ar-SA"/>
        </w:rPr>
        <w:t>清单</w:t>
      </w:r>
    </w:p>
    <w:p>
      <w:pPr>
        <w:pStyle w:val="2"/>
        <w:rPr>
          <w:rFonts w:hint="eastAsia"/>
          <w:lang w:eastAsia="zh-CN"/>
        </w:rPr>
      </w:pPr>
    </w:p>
    <w:tbl>
      <w:tblPr>
        <w:tblStyle w:val="16"/>
        <w:tblW w:w="93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3"/>
        <w:gridCol w:w="1623"/>
        <w:gridCol w:w="2481"/>
        <w:gridCol w:w="641"/>
        <w:gridCol w:w="613"/>
        <w:gridCol w:w="791"/>
        <w:gridCol w:w="859"/>
        <w:gridCol w:w="846"/>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bookmarkStart w:id="20" w:name="_Toc108839328"/>
            <w:bookmarkStart w:id="21" w:name="_Toc103165678"/>
            <w:r>
              <w:rPr>
                <w:rFonts w:hint="eastAsia" w:ascii="仿宋" w:hAnsi="仿宋" w:eastAsia="仿宋" w:cs="仿宋"/>
                <w:i w:val="0"/>
                <w:iCs w:val="0"/>
                <w:color w:val="000000"/>
                <w:kern w:val="0"/>
                <w:sz w:val="22"/>
                <w:szCs w:val="22"/>
                <w:u w:val="none"/>
                <w:lang w:val="en-US" w:eastAsia="zh-CN" w:bidi="ar"/>
              </w:rPr>
              <w:t>序号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备件名称</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型号规格（代号）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限价（元）</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单价（元）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双头螺柱</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AM42x3x160 QQ/Z54025.02-1999</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罩螺母</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AM42x3 QQ/Z54026.02-2008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双头螺柱</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CM56x4x180 QQ/Z54025.02-2008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罩螺母</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BM56x4 QQ/Z54026.02-2008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双头螺柱</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AM30x110 QQ/Z54025.01-2008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罩螺母</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AM30 QQ/Z54026.01-2008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弹簧</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4-0600-4018-1100-00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安全膜板</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1-8003-0030-0000-00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滤油网</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KB130.73.01.26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主汽门弹簧</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4-3001-4022-0712-00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内螺纹截止阀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J11T-16 DN25/G1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J41H-16C DN40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J41H-16C DN25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J41H-25 DN20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J41H-25 DN10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J41H-25 DN15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J41H-16C DN15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J41H-16C DN32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J41H-25 DN25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节流阀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L41H-16C PN1.6 DN50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对夹式止回阀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H71H-16C PN1.6 DN50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4WE6Y6X/EW220RNZ5L</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4WE10Y3X/CW220RNZ5L</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J23W-64PDN10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压力表管接头</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QQ2504-2005 G14</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无缝钢管</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 X2X5000 GB/T14976-2002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份</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压力表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Y-150 0~2.5MPa 1.6级 M20X1.5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压力表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Y-150 -0.1~0~0.15MPa 1.6级 M20X1.5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压力表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Y-150 0~0.6MPa 1.6级 M20×1.5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压力表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Y-150 0~1.6Mpa 1.6级 M20X1.5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Y-150  0~0.25Mpa 1.6级 M20X1.5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压力表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Y-150 0~1.0MPa 1.6级 M20×1.5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双支热电偶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WRN2-631 0～500℃K分度 L=400 l=100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双支热电偶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WRKK2-221 0～500℃ K分度Φ8 L=250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双支热电阻</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WRN2-239  0～500℃ Pt100 L=250 l=50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双支热电阻</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WZP2K-533 0～150℃A级Pt100Φ8 L=250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温度计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WTY-1021 0～400℃ Φ10×100 HWM27×2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温度计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WTY-1021 0～300℃ Φ10×100 HWM27×2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温度计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WTY-1021 0～100℃ Φ10×75 HWM27×2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温度计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WTY-1033 0～150℃Φ10X150X10m KM27×2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温度计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WTY-1021 0～100℃ Φ10×100 KM27×2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温度计</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WTY-1021  0～100℃ Φ10×75 KM27×2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铂热电阻</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RT-102Z  L=7000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机械式压力开关</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MTDP-CX30AJ2DN1303 0～0.16MPa L1=40KPa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机械式压力开关</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MTDP-CX30AJ2DN1303 0～0.16MPa L1=60KPa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机械式压力开关</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MTDP-CX30AJ2DN1303 0～0.16MPa L1=70KPa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行程开关</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MS330-11y-1366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接线端子箱</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ZXP1001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数字转速表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HZS-06 30齿 0～9999rpm</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仪表电源</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HZD-8500B-DY</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转速监控模块</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HZD-8500B-ZS80-A3-B1-C1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轴位移监控模块</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HZD-8500B-WY81-A3-B2-C1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磁阻转速传感器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SZCB-01-A00 L=60mm</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金属软管</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6JRL80FPJF-500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份</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金属软管</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6JRL50FPJF-500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份</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电加热器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GYY4-220/8(220VAC 8KW)</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补偿节</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轴向补偿10mm，横向补偿5mm，设计压力0.01Mpa(a)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充气工具</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CQJ-2.5包含在蓄能器</w:t>
            </w:r>
            <w:r>
              <w:rPr>
                <w:rFonts w:hint="eastAsia" w:ascii="仿宋" w:hAnsi="仿宋" w:eastAsia="仿宋" w:cs="仿宋"/>
                <w:i w:val="0"/>
                <w:iCs w:val="0"/>
                <w:color w:val="000000"/>
                <w:kern w:val="0"/>
                <w:sz w:val="24"/>
                <w:szCs w:val="24"/>
                <w:u w:val="none"/>
                <w:lang w:val="en-US" w:eastAsia="zh-CN" w:bidi="ar"/>
              </w:rPr>
              <w:t>里</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Style w:val="23"/>
          <w:rFonts w:hint="eastAsia" w:ascii="仿宋" w:hAnsi="仿宋" w:eastAsia="仿宋" w:cs="仿宋"/>
          <w:sz w:val="30"/>
        </w:rPr>
      </w:pPr>
    </w:p>
    <w:p>
      <w:pPr>
        <w:pageBreakBefore w:val="0"/>
        <w:kinsoku/>
        <w:wordWrap/>
        <w:topLinePunct w:val="0"/>
        <w:bidi w:val="0"/>
        <w:spacing w:line="360" w:lineRule="auto"/>
        <w:jc w:val="left"/>
        <w:rPr>
          <w:rFonts w:hint="eastAsia" w:ascii="仿宋" w:hAnsi="仿宋" w:eastAsia="仿宋" w:cs="仿宋"/>
          <w:b/>
          <w:spacing w:val="-2"/>
          <w:sz w:val="30"/>
        </w:rPr>
      </w:pPr>
      <w:r>
        <w:rPr>
          <w:rStyle w:val="23"/>
          <w:rFonts w:hint="eastAsia" w:ascii="仿宋" w:hAnsi="仿宋" w:eastAsia="仿宋" w:cs="仿宋"/>
          <w:sz w:val="30"/>
        </w:rPr>
        <w:t>附件</w:t>
      </w:r>
      <w:bookmarkEnd w:id="20"/>
      <w:bookmarkEnd w:id="21"/>
      <w:r>
        <w:rPr>
          <w:rStyle w:val="23"/>
          <w:rFonts w:hint="eastAsia" w:ascii="仿宋" w:hAnsi="仿宋" w:eastAsia="仿宋" w:cs="仿宋"/>
          <w:sz w:val="30"/>
        </w:rPr>
        <w:t>四</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center"/>
        <w:rPr>
          <w:rFonts w:hint="eastAsia" w:ascii="仿宋" w:hAnsi="仿宋" w:eastAsia="仿宋" w:cs="仿宋"/>
          <w:b/>
          <w:bCs/>
          <w:sz w:val="30"/>
          <w:szCs w:val="22"/>
        </w:rPr>
      </w:pPr>
      <w:r>
        <w:rPr>
          <w:rFonts w:hint="eastAsia" w:ascii="仿宋" w:hAnsi="仿宋" w:eastAsia="仿宋" w:cs="仿宋"/>
          <w:b/>
          <w:bCs/>
          <w:sz w:val="30"/>
          <w:szCs w:val="22"/>
        </w:rPr>
        <w:t>服务质量保证承诺函</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杭州临江环境能源有限公司：</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自愿参加杭州临江环境能源有限公司</w:t>
      </w:r>
      <w:r>
        <w:rPr>
          <w:rFonts w:hint="eastAsia" w:ascii="仿宋" w:hAnsi="仿宋" w:eastAsia="仿宋" w:cs="仿宋"/>
          <w:sz w:val="30"/>
          <w:szCs w:val="22"/>
          <w:lang w:val="en-US" w:eastAsia="zh-CN"/>
        </w:rPr>
        <w:t xml:space="preserve"> </w:t>
      </w:r>
      <w:r>
        <w:rPr>
          <w:rFonts w:hint="eastAsia" w:ascii="仿宋" w:hAnsi="仿宋" w:eastAsia="仿宋" w:cs="仿宋"/>
          <w:sz w:val="30"/>
          <w:szCs w:val="22"/>
          <w:u w:val="single"/>
          <w:lang w:val="en-US" w:eastAsia="zh-CN"/>
        </w:rPr>
        <w:t xml:space="preserve">  2023年临江公司汽轮机维保服务采购 </w:t>
      </w:r>
      <w:r>
        <w:rPr>
          <w:rFonts w:hint="eastAsia" w:ascii="仿宋" w:hAnsi="仿宋" w:eastAsia="仿宋" w:cs="仿宋"/>
          <w:sz w:val="30"/>
          <w:szCs w:val="22"/>
        </w:rPr>
        <w:t>询价采购，并作如下承诺：</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w:t>
      </w:r>
      <w:r>
        <w:rPr>
          <w:rFonts w:hint="eastAsia" w:ascii="仿宋" w:hAnsi="仿宋" w:eastAsia="仿宋" w:cs="仿宋"/>
          <w:sz w:val="30"/>
          <w:szCs w:val="22"/>
          <w:lang w:eastAsia="zh-CN"/>
        </w:rPr>
        <w:t>采购方</w:t>
      </w:r>
      <w:r>
        <w:rPr>
          <w:rFonts w:hint="eastAsia" w:ascii="仿宋" w:hAnsi="仿宋" w:eastAsia="仿宋" w:cs="仿宋"/>
          <w:sz w:val="30"/>
          <w:szCs w:val="22"/>
        </w:rPr>
        <w:t>需要，可以提供原生产厂家到我公司的完整供应链销售凭证。</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4.我公司保证提供</w:t>
      </w:r>
      <w:r>
        <w:rPr>
          <w:rFonts w:hint="eastAsia" w:ascii="仿宋" w:hAnsi="仿宋" w:eastAsia="仿宋" w:cs="仿宋"/>
          <w:sz w:val="30"/>
          <w:szCs w:val="22"/>
          <w:lang w:eastAsia="zh-CN"/>
        </w:rPr>
        <w:t>采购方</w:t>
      </w:r>
      <w:r>
        <w:rPr>
          <w:rFonts w:hint="eastAsia" w:ascii="仿宋" w:hAnsi="仿宋" w:eastAsia="仿宋" w:cs="仿宋"/>
          <w:sz w:val="30"/>
          <w:szCs w:val="22"/>
        </w:rPr>
        <w:t>要求的全部产品，若提供的产品和</w:t>
      </w:r>
      <w:r>
        <w:rPr>
          <w:rFonts w:hint="eastAsia" w:ascii="仿宋" w:hAnsi="仿宋" w:eastAsia="仿宋" w:cs="仿宋"/>
          <w:sz w:val="30"/>
          <w:szCs w:val="22"/>
          <w:lang w:eastAsia="zh-CN"/>
        </w:rPr>
        <w:t>采购方</w:t>
      </w:r>
      <w:r>
        <w:rPr>
          <w:rFonts w:hint="eastAsia" w:ascii="仿宋" w:hAnsi="仿宋" w:eastAsia="仿宋" w:cs="仿宋"/>
          <w:sz w:val="30"/>
          <w:szCs w:val="22"/>
        </w:rPr>
        <w:t>要求的不一致，我公司保证于3日内提供生产厂家证明及市场调查证明，说明所提供货物优于</w:t>
      </w:r>
      <w:r>
        <w:rPr>
          <w:rFonts w:hint="eastAsia" w:ascii="仿宋" w:hAnsi="仿宋" w:eastAsia="仿宋" w:cs="仿宋"/>
          <w:sz w:val="30"/>
          <w:szCs w:val="22"/>
          <w:lang w:eastAsia="zh-CN"/>
        </w:rPr>
        <w:t>采购方</w:t>
      </w:r>
      <w:r>
        <w:rPr>
          <w:rFonts w:hint="eastAsia" w:ascii="仿宋" w:hAnsi="仿宋" w:eastAsia="仿宋" w:cs="仿宋"/>
          <w:sz w:val="30"/>
          <w:szCs w:val="22"/>
        </w:rPr>
        <w:t>要求。若</w:t>
      </w:r>
      <w:r>
        <w:rPr>
          <w:rFonts w:hint="eastAsia" w:ascii="仿宋" w:hAnsi="仿宋" w:eastAsia="仿宋" w:cs="仿宋"/>
          <w:sz w:val="30"/>
          <w:szCs w:val="22"/>
          <w:lang w:eastAsia="zh-CN"/>
        </w:rPr>
        <w:t>采购方</w:t>
      </w:r>
      <w:r>
        <w:rPr>
          <w:rFonts w:hint="eastAsia" w:ascii="仿宋" w:hAnsi="仿宋" w:eastAsia="仿宋" w:cs="仿宋"/>
          <w:sz w:val="30"/>
          <w:szCs w:val="22"/>
        </w:rPr>
        <w:t>不同意，则我公司愿意承担相关违约责任。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pageBreakBefore w:val="0"/>
        <w:kinsoku/>
        <w:wordWrap/>
        <w:topLinePunct w:val="0"/>
        <w:bidi w:val="0"/>
        <w:spacing w:line="360" w:lineRule="auto"/>
        <w:ind w:firstLine="4500" w:firstLineChars="1500"/>
        <w:jc w:val="left"/>
        <w:rPr>
          <w:rFonts w:hint="eastAsia" w:ascii="仿宋" w:hAnsi="仿宋" w:eastAsia="仿宋" w:cs="仿宋"/>
          <w:sz w:val="30"/>
          <w:szCs w:val="22"/>
        </w:rPr>
      </w:pPr>
      <w:r>
        <w:rPr>
          <w:rFonts w:hint="eastAsia" w:ascii="仿宋" w:hAnsi="仿宋" w:eastAsia="仿宋" w:cs="仿宋"/>
          <w:sz w:val="30"/>
          <w:szCs w:val="22"/>
        </w:rPr>
        <w:t>报价单位名称（公章）：</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二○二</w:t>
      </w:r>
      <w:r>
        <w:rPr>
          <w:rFonts w:hint="eastAsia" w:ascii="仿宋" w:hAnsi="仿宋" w:eastAsia="仿宋" w:cs="仿宋"/>
          <w:sz w:val="30"/>
          <w:szCs w:val="22"/>
          <w:lang w:eastAsia="zh-CN"/>
        </w:rPr>
        <w:t>三</w:t>
      </w:r>
      <w:r>
        <w:rPr>
          <w:rFonts w:hint="eastAsia" w:ascii="仿宋" w:hAnsi="仿宋" w:eastAsia="仿宋" w:cs="仿宋"/>
          <w:sz w:val="30"/>
          <w:szCs w:val="22"/>
        </w:rPr>
        <w:t>年</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月</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日</w:t>
      </w:r>
    </w:p>
    <w:p>
      <w:pPr>
        <w:pStyle w:val="2"/>
        <w:rPr>
          <w:rStyle w:val="23"/>
          <w:rFonts w:hint="eastAsia" w:ascii="仿宋" w:hAnsi="仿宋" w:eastAsia="仿宋" w:cs="仿宋"/>
          <w:b/>
          <w:sz w:val="30"/>
          <w:szCs w:val="22"/>
          <w:lang w:val="en-GB"/>
        </w:rPr>
      </w:pPr>
      <w:bookmarkStart w:id="22" w:name="_Toc473012596"/>
      <w:bookmarkStart w:id="23" w:name="_Toc509228412"/>
      <w:bookmarkStart w:id="24" w:name="_Toc509229875"/>
    </w:p>
    <w:p>
      <w:pPr>
        <w:rPr>
          <w:rStyle w:val="23"/>
          <w:rFonts w:hint="eastAsia" w:ascii="仿宋" w:hAnsi="仿宋" w:eastAsia="仿宋" w:cs="仿宋"/>
          <w:b/>
          <w:sz w:val="30"/>
          <w:szCs w:val="22"/>
          <w:lang w:val="en-GB"/>
        </w:rPr>
      </w:pPr>
    </w:p>
    <w:p>
      <w:pPr>
        <w:pStyle w:val="2"/>
        <w:rPr>
          <w:rStyle w:val="23"/>
          <w:rFonts w:hint="eastAsia" w:ascii="仿宋" w:hAnsi="仿宋" w:eastAsia="仿宋" w:cs="仿宋"/>
          <w:b/>
          <w:sz w:val="30"/>
          <w:szCs w:val="22"/>
          <w:lang w:val="en-GB"/>
        </w:rPr>
      </w:pPr>
    </w:p>
    <w:p>
      <w:pPr>
        <w:rPr>
          <w:rFonts w:hint="eastAsia"/>
          <w:lang w:val="en-GB"/>
        </w:rPr>
      </w:pPr>
    </w:p>
    <w:p>
      <w:pPr>
        <w:pStyle w:val="2"/>
        <w:rPr>
          <w:rFonts w:hint="eastAsia"/>
          <w:lang w:val="en-GB"/>
        </w:rPr>
      </w:pPr>
    </w:p>
    <w:p>
      <w:pPr>
        <w:pageBreakBefore w:val="0"/>
        <w:kinsoku/>
        <w:wordWrap/>
        <w:topLinePunct w:val="0"/>
        <w:bidi w:val="0"/>
        <w:spacing w:line="360" w:lineRule="auto"/>
        <w:jc w:val="left"/>
        <w:rPr>
          <w:rStyle w:val="23"/>
          <w:rFonts w:hint="eastAsia" w:ascii="仿宋" w:hAnsi="仿宋" w:eastAsia="仿宋" w:cs="仿宋"/>
          <w:sz w:val="30"/>
          <w:szCs w:val="22"/>
          <w:lang w:val="en-GB"/>
        </w:rPr>
      </w:pPr>
      <w:r>
        <w:rPr>
          <w:rStyle w:val="23"/>
          <w:rFonts w:hint="eastAsia" w:ascii="仿宋" w:hAnsi="仿宋" w:eastAsia="仿宋" w:cs="仿宋"/>
          <w:sz w:val="30"/>
          <w:szCs w:val="22"/>
          <w:lang w:val="en-GB"/>
        </w:rPr>
        <w:t>附件五</w:t>
      </w:r>
    </w:p>
    <w:p>
      <w:pPr>
        <w:pStyle w:val="15"/>
        <w:pageBreakBefore w:val="0"/>
        <w:kinsoku/>
        <w:wordWrap/>
        <w:topLinePunct w:val="0"/>
        <w:bidi w:val="0"/>
        <w:spacing w:line="360" w:lineRule="auto"/>
        <w:rPr>
          <w:rStyle w:val="23"/>
          <w:rFonts w:hint="eastAsia" w:ascii="仿宋" w:hAnsi="仿宋" w:eastAsia="仿宋" w:cs="仿宋"/>
          <w:b/>
          <w:spacing w:val="0"/>
          <w:sz w:val="44"/>
          <w:lang w:val="en-GB"/>
        </w:rPr>
      </w:pPr>
      <w:r>
        <w:rPr>
          <w:rStyle w:val="23"/>
          <w:rFonts w:hint="eastAsia" w:ascii="仿宋" w:hAnsi="仿宋" w:eastAsia="仿宋" w:cs="仿宋"/>
          <w:b/>
          <w:spacing w:val="0"/>
          <w:sz w:val="44"/>
          <w:lang w:val="en-GB"/>
        </w:rPr>
        <w:t xml:space="preserve">  合同</w:t>
      </w:r>
      <w:bookmarkEnd w:id="22"/>
      <w:bookmarkEnd w:id="23"/>
      <w:bookmarkEnd w:id="24"/>
      <w:r>
        <w:rPr>
          <w:rStyle w:val="23"/>
          <w:rFonts w:hint="eastAsia" w:ascii="仿宋" w:hAnsi="仿宋" w:eastAsia="仿宋" w:cs="仿宋"/>
          <w:b/>
          <w:spacing w:val="0"/>
          <w:sz w:val="44"/>
          <w:lang w:val="en-GB"/>
        </w:rPr>
        <w:t>基本条款</w:t>
      </w:r>
    </w:p>
    <w:p>
      <w:pPr>
        <w:pageBreakBefore w:val="0"/>
        <w:kinsoku/>
        <w:wordWrap/>
        <w:topLinePunct w:val="0"/>
        <w:bidi w:val="0"/>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pageBreakBefore w:val="0"/>
        <w:kinsoku/>
        <w:wordWrap/>
        <w:topLinePunct w:val="0"/>
        <w:bidi w:val="0"/>
        <w:spacing w:line="360" w:lineRule="auto"/>
        <w:ind w:firstLine="520" w:firstLineChars="217"/>
        <w:rPr>
          <w:rFonts w:hint="eastAsia" w:ascii="仿宋" w:hAnsi="仿宋" w:eastAsia="仿宋" w:cs="仿宋"/>
          <w:kern w:val="0"/>
          <w:sz w:val="24"/>
          <w:szCs w:val="24"/>
        </w:rPr>
      </w:pPr>
      <w:r>
        <w:rPr>
          <w:rFonts w:hint="eastAsia" w:ascii="仿宋" w:hAnsi="仿宋" w:eastAsia="仿宋" w:cs="仿宋"/>
          <w:kern w:val="0"/>
          <w:sz w:val="24"/>
          <w:szCs w:val="24"/>
        </w:rPr>
        <w:t>根据《中华人民共和国民法典》等法律法规的要求，双方经协商一致，就甲方向乙方采购</w:t>
      </w:r>
      <w:r>
        <w:rPr>
          <w:rFonts w:hint="eastAsia" w:ascii="仿宋" w:hAnsi="仿宋" w:eastAsia="仿宋" w:cs="仿宋"/>
          <w:kern w:val="0"/>
          <w:sz w:val="24"/>
          <w:szCs w:val="24"/>
          <w:lang w:eastAsia="zh-CN"/>
        </w:rPr>
        <w:t>汽轮机维保服务</w:t>
      </w:r>
      <w:r>
        <w:rPr>
          <w:rFonts w:hint="eastAsia" w:ascii="仿宋" w:hAnsi="仿宋" w:eastAsia="仿宋" w:cs="仿宋"/>
          <w:kern w:val="0"/>
          <w:sz w:val="24"/>
          <w:szCs w:val="24"/>
        </w:rPr>
        <w:t>事宜达成如下条款：</w:t>
      </w:r>
    </w:p>
    <w:p>
      <w:pPr>
        <w:pageBreakBefore w:val="0"/>
        <w:kinsoku/>
        <w:wordWrap/>
        <w:topLinePunct w:val="0"/>
        <w:bidi w:val="0"/>
        <w:spacing w:line="360" w:lineRule="auto"/>
        <w:ind w:firstLine="520" w:firstLineChars="217"/>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0"/>
          <w:sz w:val="24"/>
          <w:szCs w:val="24"/>
        </w:rPr>
        <w:t>一、</w:t>
      </w:r>
      <w:r>
        <w:rPr>
          <w:rFonts w:hint="eastAsia" w:ascii="仿宋" w:hAnsi="仿宋" w:eastAsia="仿宋" w:cs="仿宋"/>
          <w:kern w:val="0"/>
          <w:sz w:val="24"/>
          <w:szCs w:val="24"/>
          <w:lang w:val="en-US" w:eastAsia="zh-CN"/>
        </w:rPr>
        <w:t>常规维保</w:t>
      </w:r>
      <w:r>
        <w:rPr>
          <w:rFonts w:hint="eastAsia" w:ascii="仿宋" w:hAnsi="仿宋" w:eastAsia="仿宋" w:cs="仿宋"/>
          <w:kern w:val="0"/>
          <w:sz w:val="24"/>
          <w:szCs w:val="24"/>
          <w:lang w:eastAsia="zh-CN"/>
        </w:rPr>
        <w:t>单价</w:t>
      </w:r>
      <w:r>
        <w:rPr>
          <w:rFonts w:hint="eastAsia" w:ascii="仿宋" w:hAnsi="仿宋" w:eastAsia="仿宋" w:cs="仿宋"/>
          <w:sz w:val="24"/>
          <w:szCs w:val="24"/>
          <w:lang w:eastAsia="zh-CN"/>
        </w:rPr>
        <w:t>及金额</w:t>
      </w:r>
    </w:p>
    <w:tbl>
      <w:tblPr>
        <w:tblStyle w:val="17"/>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36"/>
        <w:gridCol w:w="894"/>
        <w:gridCol w:w="1087"/>
        <w:gridCol w:w="1100"/>
        <w:gridCol w:w="1313"/>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单价（元）</w:t>
            </w: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金额（元）</w:t>
            </w: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税率</w:t>
            </w: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常规检查</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52次</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年度小修</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1次</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3</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备件</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按需供货，按实结算，具体详见附后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4</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合计</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r>
    </w:tbl>
    <w:p>
      <w:pPr>
        <w:pStyle w:val="8"/>
        <w:ind w:left="0" w:leftChars="0" w:firstLine="0" w:firstLineChars="0"/>
        <w:rPr>
          <w:rFonts w:hint="eastAsia" w:ascii="仿宋" w:hAnsi="仿宋" w:eastAsia="仿宋" w:cs="仿宋"/>
          <w:sz w:val="28"/>
          <w:szCs w:val="28"/>
          <w:lang w:eastAsia="zh-CN"/>
        </w:rPr>
      </w:pPr>
    </w:p>
    <w:p>
      <w:pPr>
        <w:pageBreakBefore w:val="0"/>
        <w:kinsoku/>
        <w:wordWrap/>
        <w:topLinePunct w:val="0"/>
        <w:bidi w:val="0"/>
        <w:spacing w:line="360" w:lineRule="auto"/>
        <w:ind w:firstLine="520" w:firstLineChars="217"/>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二、维修备件清单</w:t>
      </w:r>
    </w:p>
    <w:tbl>
      <w:tblPr>
        <w:tblStyle w:val="16"/>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623"/>
        <w:gridCol w:w="2481"/>
        <w:gridCol w:w="641"/>
        <w:gridCol w:w="613"/>
        <w:gridCol w:w="859"/>
        <w:gridCol w:w="846"/>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备件名称</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型号规格（代号）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单价（元）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双头螺柱</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AM42x3x160 QQ/Z54025.02-1999</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罩螺母</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AM42x3 QQ/Z54026.02-2008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双头螺柱</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CM56x4x180 QQ/Z54025.02-2008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罩螺母</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BM56x4 QQ/Z54026.02-2008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双头螺柱</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AM30x110 QQ/Z54025.01-2008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罩螺母</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AM30 QQ/Z54026.01-2008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弹簧</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4-0600-4018-1100-00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安全膜板</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1-8003-0030-0000-00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滤油网</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KB130.73.01.26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主汽门弹簧</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4-3001-4022-0712-00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内螺纹截止阀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J11T-16 DN25/G1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J41H-16C DN40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J41H-16C DN25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J41H-25 DN20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J41H-25 DN10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J41H-25 DN15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J41H-16C DN15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J41H-16C DN32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J41H-25 DN25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节流阀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L41H-16C PN1.6 DN50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对夹式止回阀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H71H-16C PN1.6 DN50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4WE6Y6X/EW220RNZ5L</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4WE10Y3X/CW220RNZ5L</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压力表截止阀</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J23W-64PDN10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压力表管接头</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QQ2504-2005 G14</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无缝钢管</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 X2X5000 GB/T14976-2002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份</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压力表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Y-150 0~2.5MPa 1.6级 M20X1.5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压力表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Y-150 -0.1~0~0.15MPa 1.6级 M20X1.5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压力表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Y-150 0~0.6MPa 1.6级 M20×1.5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压力表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Y-150 0~1.6Mpa 1.6级 M20X1.5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Y-150  0~0.25Mpa 1.6级 M20X1.5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压力表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Y-150 0~1.0MPa 1.6级 M20×1.5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双支热电偶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WRN2-631 0～500℃K分度 L=400 l=100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双支热电偶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WRKK2-221 0～500℃ K分度Φ8 L=250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双支热电阻</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WRN2-239  0～500℃ Pt100 L=250 l=50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双支热电阻</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WZP2K-533 0～150℃A级Pt100Φ8 L=250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温度计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WTY-1021 0～400℃ Φ10×100 HWM27×2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温度计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WTY-1021 0～300℃ Φ10×100 HWM27×2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温度计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WTY-1021 0～100℃ Φ10×75 HWM27×2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温度计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WTY-1033 0～150℃Φ10X150X10m KM27×2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温度计 </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WTY-1021 0～100℃ Φ10×100 KM27×2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温度计</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WTY-1021  0～100℃ Φ10×75 KM27×2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铂热电阻</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RT-102Z  L=7000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机械式压力开关</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MTDP-CX30AJ2DN1303 0～0.16MPa L1=40KPa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机械式压力开关</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MTDP-CX30AJ2DN1303 0～0.16MPa L1=60KPa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机械式压力开关</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MTDP-CX30AJ2DN1303 0～0.16MPa L1=70KPa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行程开关</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MS330-11y-1366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接线端子箱</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ZXP1001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数字转速表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HZS-06 30齿 0～9999rpm</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仪表电源</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HZD-8500B-DY</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转速监控模块</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HZD-8500B-ZS80-A3-B1-C1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轴位移监控模块</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HZD-8500B-WY81-A3-B2-C1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磁阻转速传感器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SZCB-01-A00 L=60mm</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金属软管</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6JRL80FPJF-500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份</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金属软管</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6JRL50FPJF-500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份</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电加热器</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GYY4-220/8(220VAC 8KW)</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补偿节</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轴向补偿10mm，横向补偿5mm，设计压力0.01Mpa(a)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充气工具</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CQJ-2.5包含在蓄能器</w:t>
            </w:r>
            <w:r>
              <w:rPr>
                <w:rFonts w:hint="eastAsia" w:ascii="仿宋" w:hAnsi="仿宋" w:eastAsia="仿宋" w:cs="仿宋"/>
                <w:i w:val="0"/>
                <w:iCs w:val="0"/>
                <w:color w:val="000000"/>
                <w:kern w:val="0"/>
                <w:sz w:val="24"/>
                <w:szCs w:val="24"/>
                <w:u w:val="none"/>
                <w:lang w:val="en-US" w:eastAsia="zh-CN" w:bidi="ar"/>
              </w:rPr>
              <w:t>里</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Style w:val="22"/>
        <w:pageBreakBefore w:val="0"/>
        <w:kinsoku/>
        <w:wordWrap/>
        <w:topLinePunct w:val="0"/>
        <w:bidi w:val="0"/>
        <w:snapToGrid w:val="0"/>
        <w:spacing w:line="360" w:lineRule="auto"/>
        <w:rPr>
          <w:rFonts w:hint="eastAsia" w:ascii="仿宋" w:hAnsi="仿宋" w:eastAsia="仿宋" w:cs="仿宋"/>
          <w:b/>
          <w:bCs/>
          <w:color w:val="auto"/>
          <w:kern w:val="2"/>
          <w:sz w:val="24"/>
          <w:szCs w:val="24"/>
          <w:lang w:val="en-US" w:eastAsia="zh-CN" w:bidi="ar-SA"/>
        </w:rPr>
      </w:pP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sz w:val="24"/>
          <w:szCs w:val="24"/>
          <w:lang w:val="en-US" w:eastAsia="zh-CN"/>
        </w:rPr>
        <w:t>备件按需更换、按实结算。</w:t>
      </w:r>
      <w:r>
        <w:rPr>
          <w:rFonts w:hint="eastAsia" w:ascii="仿宋" w:hAnsi="仿宋" w:eastAsia="仿宋" w:cs="仿宋"/>
          <w:color w:val="auto"/>
          <w:kern w:val="2"/>
          <w:sz w:val="24"/>
          <w:szCs w:val="24"/>
          <w:lang w:val="en-US" w:eastAsia="zh-CN" w:bidi="ar-SA"/>
        </w:rPr>
        <w:t>此清单内备件价格为汽轮机更换备件的综合价格，含备件费、税金、工时费、车辆费、工具费等所有费用。</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2维护保养期内，机组零部件发生故障或损坏，需更换新的备品备件时，乙方应向甲方报送需更换的备品清单，经甲方同意批准后方可更换。</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清单之外的配件甲方有权自主选择采购单位，备件的安装、维修均由维保方承担，一般情况下工时费不另外支付，但若因维修工时超过24个工时，工时费双方协商解决。若甲方在第三方采购备件，安装、维修由乙方负责。</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三、维保内容及要求：</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3.1汽轮机的定期试验</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（1）主汽门活动试验每周一次，检查主汽门活动情况，阀杆是否卡涩。</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（2）每周一次在低负荷下进行一次抽汽逆止阀活动试验。</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（3）每周一次电动油泵试验。</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（4）其他有关调节部套试验详见“调节保安系统说明书”。</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3.2汽轮机定期检查</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对设备的定期检查是保护本设备长期运行的保证。按汽轮机的设备特点，列出检查项目，供甲方参考。为了维护好汽轮机机组，首先应有完整的综合运行日志，以便欲查找故障和确定有可能出问题的部位。</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综合运行日志应分期保存，其内容应包括所有有用的温度、压力、流量、频率、速度和负荷变化等数据，并应包括所有异常工况、脱扣或偏离正常运行程序等情况的完整说明。</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各类监测仪表的自动记录纸是日志的一个有价值的组成部分应将其编上日期，装订成册，并与运行日志中有关的事件相互参照。</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还应从机组运维起，为汽轮机编写一套完整而详尽的“历史情况记录”，情况记录包含保养的记录及维修的记录，为后续的维修提供参考。</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3.3每月一次的检查项目</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（1）检查汽轮机监测仪表，包括振动和金属温度记录仪，检查期间应使这些仪表保持清洁，对仪表进行电气检查，任何有问题的部件都应更换。</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（2）检查所有测汽轮机金属温度用的热电偶，以30天为期对这些元件进行一次检查和维护，并备好备用热电偶及时更换失效的热电偶。</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（3）检查抽汽管道阀门，检查这些阀门的所有控制器，包括操纵座、开关、电磁阀、空气过滤器和整套供气装置等。所有在运行中能进行试验的抽汽管道阀门，都应定期进行活动试验。</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（4）检查加热器的水位控制器和报警系统，以保证正常运行。检查期间应保持仪表清洁，有问题的设备应更换。</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（5）检查所有加热器的疏水阀。更换有问题的部件。</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3.4每三个月一次的检查</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（1）检查汽轮机及相关管道的所有疏水管道和阀门，这包括主蒸汽、补汽、抽汽、蒸汽管道。</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（2）通过测量疏水器或孔板上、下游管道的温度，检查所有的孔板和疏水器。</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（3）对疏水阀进行检查，更换有问题的部件。</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3.5每年一次的检查</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（1）对关键的阀门、汽水阀和孔板进行内部检查，维护并清理干净。</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（2）初始启动后拆除滤网时，启动后大约两周再解体时，以及每年一次的检查时，需清理干净主要疏水的集水箱。</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（3）检查主汽门、调节汽阀，修复其所有动、静部件间的间隙至设计值（包括阀杆间隙）。</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3.6汽轮机运行中的检查项目</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运行人员应充分了解设备的运行限额，预防措施和运行程序，应始终严密监测汽轮机的状况。任何偏离正常值的状况都可能表明已出了故障或存在出事故的隐患，应立即查明。任何漏水、漏油、漏汽或保温层松脱等都是危险隐患，可能酿成严重事故，任何这类情况都应立即查明。</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在运行期间除完整记录综合运行日志“历史情况记录”外，在汽轮机停机检修前尚应检查下列项目，以确定需特别注意和检查的项目。</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（1）记录额定负荷，3/4和1/2额定负荷时的振动情况，相位角变化和幅值增减，以及进汽温度和压力。</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（2）记录额定负荷和卸负荷停机时轴承进出口油温和巴氏合金的温度。</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（3）测定油滤网上是否有巴氏合金或其它金属碎片。</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（4）测定润滑油系统压力是否有任何变化。</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（5）脱扣时主汽阀和调阀是否能迅速及时地关闭。</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（6）脱扣后测定汽机惰走曲线</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（7）抽汽逆止阀是否在正常工作状态</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（8）转子位置是否与原基准值相比有了变化，应特别注意额定负荷下的比较。</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（9）注意轴承油封环和油管路中的油泄漏或油雾。</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（10）注意在汽轮机的任何接口或阀杆处的任何蒸汽泄漏。</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（11）观察各汽封是否正常。</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（12）调节系统是否稳定。</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（13）调节油压是否有过什么变化。</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（14）蒸汽排放系统是否正常。</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（15）交流油泵及直流油泵开关是否起作用。</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（16）测定汽缸内噪音水平是否有变化。</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（17）用表面式温度计测定各轴承座轴承挡处表面金属温度有任何变化。</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（18）确定是否所有汽轮机监测仪表都正常工作。</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3.7短期停机的检查项目</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如果以往的运行经验或各进汽阀的活动试验表明其结构可能存在问题，则每种型式的进汽阀至少要拆开一只进行检查。核查阀门，阀杆和衬套的状况及其相应间隙，由检查结果确定是否需要对其余阀门再作检查。</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（2）检查所有有异常迹象的部件。</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3.8小修</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3.8.1小修的检查项目</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按照实际运行设备情况，应事先制订详尽的小修计划、进度、日程表，并事先准备好各种预计或准备要更换的零部件备件。</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在进行全面解体检查时，提请注意下列工作：</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（1）对主汽门、调节汽阀要测定阀杆、阻汽套、衬套等零件的氧化积垢情况，要恢复其设计间隙，并要核查各密封面（包括自密封面）的接触情况并予以修复。</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（2）对汽缸要检查所有配合与装配表面，注意汽缸壁上是否有磨蚀，检查水平中分面有否漏汽迹象，如有并予以处理，检查法兰螺栓、螺母、垫圈，固定螺钉有否松脱。</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（3）全面检查各径向轴承，测定并记录轴承和轴颈的直径，检查轴颈上是否有划痕，擦伤或麻点。轴承衬瓦是否有蚀点，磨痕或脱落情况。</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推力轴承要检查正、反推力而各瓦块的表面，各轴承都要检查热电偶的接线情况。</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（4）全面检查润滑系统（包括冷油器、辅助油泵、油箱及轴承内部的清洁度）。</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（5）全面检查转子及汽封系统，检查动叶片（包括叶根）和围带情况，末叶片水蚀情况，测量记录检修前后通流部分的轴向和径向间隙。注意叶片上所有磨蚀情况，检查汽封档凸肩情况，各汽封环有否磨损。</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（6）检查联轴器，检查其连接螺栓、螺母。</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（7）检查各隔板有否磨痕，各静叶尤其是出汽边是否有麻点、裂纹、金属磨蚀。</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（8）复核通流部分的定位基准，复核轴系的找中曲线，这包括复核冷态各轴承标高与原始安装值有否变化，各联轴器处开口和外圆的变化情况，如有变化并予以修复。</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3.8.2小修的检修内容</w:t>
      </w:r>
    </w:p>
    <w:tbl>
      <w:tblPr>
        <w:tblStyle w:val="17"/>
        <w:tblW w:w="7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6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6048" w:type="dxa"/>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检修内容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22"/>
              <w:pageBreakBefore w:val="0"/>
              <w:kinsoku/>
              <w:wordWrap/>
              <w:topLinePunct w:val="0"/>
              <w:bidi w:val="0"/>
              <w:snapToGri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604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前后轴瓦检查、调整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22"/>
              <w:pageBreakBefore w:val="0"/>
              <w:kinsoku/>
              <w:wordWrap/>
              <w:topLinePunct w:val="0"/>
              <w:bidi w:val="0"/>
              <w:snapToGri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604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调节进气连杆检查、调整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22"/>
              <w:pageBreakBefore w:val="0"/>
              <w:kinsoku/>
              <w:wordWrap/>
              <w:topLinePunct w:val="0"/>
              <w:bidi w:val="0"/>
              <w:snapToGri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604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汽轮机联轴器中心复查、调整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22"/>
              <w:pageBreakBefore w:val="0"/>
              <w:kinsoku/>
              <w:wordWrap/>
              <w:topLinePunct w:val="0"/>
              <w:bidi w:val="0"/>
              <w:snapToGri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604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发电机联轴器中心复查、调整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22"/>
              <w:pageBreakBefore w:val="0"/>
              <w:kinsoku/>
              <w:wordWrap/>
              <w:topLinePunct w:val="0"/>
              <w:bidi w:val="0"/>
              <w:snapToGri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604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润滑油系统检查、清理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22"/>
              <w:pageBreakBefore w:val="0"/>
              <w:kinsoku/>
              <w:wordWrap/>
              <w:topLinePunct w:val="0"/>
              <w:bidi w:val="0"/>
              <w:snapToGri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604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调速系统检查、清理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22"/>
              <w:pageBreakBefore w:val="0"/>
              <w:kinsoku/>
              <w:wordWrap/>
              <w:topLinePunct w:val="0"/>
              <w:bidi w:val="0"/>
              <w:snapToGri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w:t>
            </w:r>
          </w:p>
        </w:tc>
        <w:tc>
          <w:tcPr>
            <w:tcW w:w="604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汽轮机静态、动态试验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22"/>
              <w:pageBreakBefore w:val="0"/>
              <w:kinsoku/>
              <w:wordWrap/>
              <w:topLinePunct w:val="0"/>
              <w:bidi w:val="0"/>
              <w:snapToGri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604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冷油器检查清理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11" w:type="dxa"/>
          </w:tcPr>
          <w:p>
            <w:pPr>
              <w:pStyle w:val="22"/>
              <w:pageBreakBefore w:val="0"/>
              <w:kinsoku/>
              <w:wordWrap/>
              <w:topLinePunct w:val="0"/>
              <w:bidi w:val="0"/>
              <w:snapToGri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w:t>
            </w:r>
          </w:p>
        </w:tc>
        <w:tc>
          <w:tcPr>
            <w:tcW w:w="604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抽气器检查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511" w:type="dxa"/>
          </w:tcPr>
          <w:p>
            <w:pPr>
              <w:pStyle w:val="22"/>
              <w:pageBreakBefore w:val="0"/>
              <w:kinsoku/>
              <w:wordWrap/>
              <w:topLinePunct w:val="0"/>
              <w:bidi w:val="0"/>
              <w:snapToGri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604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前后轴箱测点复检</w:t>
            </w:r>
          </w:p>
        </w:tc>
      </w:tr>
    </w:tbl>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3.9停机后的维护</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3.9.1 汽轮机停用期不超过二周（无检修工作）时的保养措施：</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（1）关闭机组与公共母管连接的汽水系统隔绝阀门，若阀门不严密应扩大隔绝范围或加装堵板。</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（2）开启有关通向大气的疏水、放水、放气等阀门。设法放尽管道、容器、箱内等内部的积水或存水。</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（3）每星期进行一次油箱低部放水，若有条件可启动各油泵进行油循环，如无条件则每天将转子转动半圈。</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（4）如汽轮机停用期适值冬季，则应做好防冻工作。</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（5）暴露于外部的加工面涂以防锈油。</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3.9.2汽轮机停用超过二周，但不超过六个月（无检修工作）时的保养措施，除了应做好上述（6.1）保养工作外，还应采用热风干燥法进行保养。送风时排汽缸温度应低于80℃，一般应调节热风温度，使汽轮机内缸内壁温度比室温高3～5℃。若热干燥有困难，可用抽汽器抽真空，使机组内部保持干燥，每月进行一次，运行一小时（选择晴天，空气比较干燥时进行）</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3.9.3 汽轮机停用期超过六个月时的保养措施：除了应做好上述保养工作外，还应采用拆开保养法进行保养，即在金属表面涂上合适的防锈油脂，或喷上银粉等，妥善保管，并定期检查保养效果。</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凝汽器、加热器、冷油器必要时进行充氮保养。</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3.10蒸汽管道的清洗</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3.10.1概述</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汽轮机的安全经济运行要求进入汽轮机主蒸汽没有外来杂物，为了提供纯净的蒸汽，要求锅炉以及汽轮机的进汽管道在通过蒸汽前，需要进行彻底清洗，不仅新机组初始启动前要求清洗管道，而且检修后的锅炉管道和进汽管道在再启动前也要进行（清洗汽封管道也包括在内）。</w:t>
      </w:r>
    </w:p>
    <w:p>
      <w:pPr>
        <w:pStyle w:val="22"/>
        <w:pageBreakBefore w:val="0"/>
        <w:kinsoku/>
        <w:wordWrap/>
        <w:topLinePunct w:val="0"/>
        <w:bidi w:val="0"/>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3.10.2清洗的要求</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清洗后，必须达到能清除掉外部杂物，如附在管子内表面的扎制鳞皮、焊珠、焊渣、氧化皮等。</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3.10.3清洗的方法</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蒸汽管道的清洗目前普遍采用蒸汽吹扫与化学清洗方法，应按照DL5011-92“电力建设施工及验收技术规范”（汽轮机机组篇）中的规定，依管道的类别分别选取蒸汽吹扫或是化学清洗。</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对蒸汽吹扫的管道需要按DL5031-94“电力建设施工及验收技术规范”（管道篇）的规定，用蒸汽吹扫合格。</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而对需进行化学清洗的管道，则应按DLJ58-83“电力建设施工及验收技术规范”（火力发电厂化学篇）的要求进行。</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3.11润滑要求</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3.11.1 常规的润滑保养项目</w:t>
      </w:r>
    </w:p>
    <w:p>
      <w:pPr>
        <w:pStyle w:val="22"/>
        <w:pageBreakBefore w:val="0"/>
        <w:kinsoku/>
        <w:wordWrap/>
        <w:topLinePunct w:val="0"/>
        <w:bidi w:val="0"/>
        <w:snapToGrid w:val="0"/>
        <w:spacing w:line="360" w:lineRule="auto"/>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对于汽轮机各部套配套的电动机、滚动轴承等需润滑保养的零部件，都按相应制造厂的要求，按常规注油维护。</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3.11.2对油质的要求</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（1）本汽轮机组所用的润滑油规定为32号汽轮机油，并加入防锈用复合添加剂。</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汽轮机油质应符合GB11120-1989 L-TSA汽轮机油的规定，所用润滑油应是均匀的精炼矿物油，它不许含有砂砾，无机酸碱、皂液、沥青、柏油脂和树状杂质，或其他会影响油质或对所接触金属有害的任何杂质。</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对汽轮机用油的正确保养将保证轴承、轴颈和油泵等不产生过度的磨损，所以必须作定期的油抽样分析以确定油的特性有否改变，如已改变应查明原因予以处理。</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（2）在汽轮机运行期间，检验油质时，允许的杂质水平按下表的规定。</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7"/>
        <w:gridCol w:w="4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3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杂质粒度尺寸（μ）</w:t>
            </w:r>
          </w:p>
        </w:tc>
        <w:tc>
          <w:tcPr>
            <w:tcW w:w="448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每100mL油样中允许的颗粒数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3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5～10</w:t>
            </w:r>
          </w:p>
        </w:tc>
        <w:tc>
          <w:tcPr>
            <w:tcW w:w="448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3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10～25</w:t>
            </w:r>
          </w:p>
        </w:tc>
        <w:tc>
          <w:tcPr>
            <w:tcW w:w="448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3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25～100</w:t>
            </w:r>
          </w:p>
        </w:tc>
        <w:tc>
          <w:tcPr>
            <w:tcW w:w="448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3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50～250</w:t>
            </w:r>
          </w:p>
        </w:tc>
        <w:tc>
          <w:tcPr>
            <w:tcW w:w="448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3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100～250</w:t>
            </w:r>
          </w:p>
        </w:tc>
        <w:tc>
          <w:tcPr>
            <w:tcW w:w="448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3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&gt;250</w:t>
            </w:r>
          </w:p>
        </w:tc>
        <w:tc>
          <w:tcPr>
            <w:tcW w:w="4487" w:type="dxa"/>
            <w:vAlign w:val="center"/>
          </w:tcPr>
          <w:p>
            <w:pPr>
              <w:pStyle w:val="22"/>
              <w:pageBreakBefore w:val="0"/>
              <w:kinsoku/>
              <w:wordWrap/>
              <w:topLinePunct w:val="0"/>
              <w:bidi w:val="0"/>
              <w:snapToGri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无</w:t>
            </w:r>
          </w:p>
        </w:tc>
      </w:tr>
    </w:tbl>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3.11.3对油系统清洁度的要求</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在新机组安装后，油系统试运和油循环时油样（用150目油过滤器在最大流量下，置30min取样，然后清洗油过滤器，用200目滤网收集异物）应符合下列要求，油系统清洁度才是合格的。</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（1）没有大于0.25mm的硬颗粒，尺寸在0.125～0.25mm之间的硬颗粒总数不得大于5。</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（2）在冲洗期间通常要清除以下有害颗粒。</w:t>
      </w:r>
      <w:r>
        <w:rPr>
          <w:rFonts w:hint="eastAsia" w:ascii="仿宋" w:hAnsi="仿宋" w:eastAsia="仿宋" w:cs="仿宋"/>
          <w:color w:val="auto"/>
          <w:kern w:val="2"/>
          <w:sz w:val="24"/>
          <w:szCs w:val="24"/>
          <w:lang w:val="en-US" w:eastAsia="zh-CN" w:bidi="ar-SA"/>
        </w:rPr>
        <w:tab/>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大粒积垢或铁锈焊珠或焊渣、砂、石、水泥或玻璃，包括焊条在内的任何种类金属碎屑、片布料、塑料或其它不会檫伤轴颈，但却会阻挡油在管内流动或堵住管孔的物质。</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（3）虽稍大于0.25mm，但却可认为是无害的颗粒是棉花、碎纸、锯屑、烟丝、石棉和能很快用手指捻碎的其它软性物质，这些颗粒也要去除。</w:t>
      </w:r>
    </w:p>
    <w:p>
      <w:pPr>
        <w:pStyle w:val="22"/>
        <w:pageBreakBefore w:val="0"/>
        <w:kinsoku/>
        <w:wordWrap/>
        <w:topLinePunct w:val="0"/>
        <w:bidi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如检查与分析的结果是洁净度不合格，则要继续让热油循环二小时后再收集油样，直至检查与分析合格。</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四、服务要求</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机组运行期间，乙方指派相对固定的专业人员，对余热发电机组进行巡检（并记录各项数据）﹑维护保养，并由乙方提交一份有关维护保养的情况报告。协议包含的维保内容主要为每常规巡检保养，每月一次停机检查保养等（根据甲方停炉时间决定）；协议内涉及系统设备的维修由乙方负责，协议外涉及到的设备大修的需另行签订合同。</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2运维包含的常规巡检保养内容包括检查机组的性能、运转状况及代甲方更换协议范围内配件等。 </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应急维修：运维期间，机组运行出现故障时，乙方在接到甲方报修通知后，2小时到达现场对设备进行检修，需尽快安排人员过来维修，除了因为甲方原因系统停机外，汽轮机年度运行时间不少于8000小时，停机检修期间，乙方根据维修情况适时增派增加专业维修人员做好维修工作。</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 特别约定：</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（1）甲方在报修通知乙方时应一并提供相关报警信息，以便于乙方工程师做准备。</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（2）乙方严格遵守甲方各项外来人员的规章制度和安全规程。乙方自行承担工作人员在维护工作中的安全责任。如果出现安全事故，一切后果由乙方自行承担。</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（3）乙方不承担外部坏境或因人为误操作、破坏等引起的直接与间接的损失后果。</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（4）乙方不承担因地震、火灾、雷击、战争等自然力量不可抗拒的灾害所造成的机器损坏。</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（5）乙方有义务协助甲方维修上述第（3）、（4）条发生时所造成的损坏，双方另行协商修理费用。</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五、质保协议</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汽轮机原有的质保条款（2年）由乙方承担，乙方负责汽轮机质保件的质保，质保件出现问题，乙方负责联系原有厂家沟通汽轮机的质保，质保件以外的根据易损件清单报价按实结算。</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6乙方对甲方提供的所有业务技术资料、文档，有责任对第三方保密。</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7乙方在服务过程中涉及第三方产品（报价人提供的），若出现技术、经济或法律上的纠纷，应由乙方全面承担并全权解决，确保不影响项目的进度。</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六、验收标准</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1乙方在每次进行保养或维修服务时需要有甲方陪同，甲方对照乙方案现场检查项目是否符合甲方要求，双方在维保确认单上签字确认后验收合格。</w:t>
      </w:r>
    </w:p>
    <w:p>
      <w:pPr>
        <w:pStyle w:val="22"/>
        <w:pageBreakBefore w:val="0"/>
        <w:kinsoku/>
        <w:wordWrap/>
        <w:topLinePunct w:val="0"/>
        <w:bidi w:val="0"/>
        <w:snapToGrid w:val="0"/>
        <w:spacing w:line="360" w:lineRule="auto"/>
        <w:rPr>
          <w:rFonts w:hint="eastAsia" w:ascii="仿宋" w:hAnsi="仿宋" w:eastAsia="仿宋" w:cs="仿宋"/>
          <w:sz w:val="28"/>
          <w:szCs w:val="28"/>
          <w:lang w:eastAsia="zh-CN"/>
        </w:rPr>
      </w:pPr>
      <w:r>
        <w:rPr>
          <w:rFonts w:hint="eastAsia" w:ascii="仿宋" w:hAnsi="仿宋" w:eastAsia="仿宋" w:cs="仿宋"/>
          <w:color w:val="auto"/>
          <w:kern w:val="2"/>
          <w:sz w:val="24"/>
          <w:szCs w:val="24"/>
          <w:lang w:val="en-US" w:eastAsia="zh-CN" w:bidi="ar-SA"/>
        </w:rPr>
        <w:t>2配件质保期为约定设备维修完成验收合格之日起六个月，六个月内同台设备出现相同故障由乙方免费更换所用的配件并维修</w:t>
      </w:r>
      <w:r>
        <w:rPr>
          <w:rFonts w:hint="eastAsia" w:ascii="仿宋" w:hAnsi="仿宋" w:eastAsia="仿宋" w:cs="仿宋"/>
          <w:sz w:val="28"/>
          <w:szCs w:val="28"/>
          <w:lang w:eastAsia="zh-CN"/>
        </w:rPr>
        <w:t>。</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七、维保费用计算方式</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1常规检查按实际维保次数支付维保费；常规检查费包含了所有工时费、技术服务费、检测调试费、交通费、工具费、运输费、管理费、税费等维保过程中产生的一切费用。</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2备件按需供货按实结算，安装、维修由乙方承担，一般情况下工时费不另外支付，但若因维修工时超过24个工时，工时费双方协商解决。</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本合同签订的同时，乙方应向甲方缴纳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元（合同总价的5%）作为履约保证金。供货完成后甲方原额无息退还履约保证金。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九、付款方式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1每三个月为一个付款周期，支付一个周期内实际保养及备件费用。</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2乙方提供经双方确认的服务清单及增值税专用发票，采购方自收到准确清单和发票后，30日内完成费用支付。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十、争议的解决。</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1合同有效期内甲、乙双方均不得随意变更或解除合同。合同若有未尽事宜，需经双方共同协商，订立补充协议，补充协议与本合同有同等法律效力。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2在履行本合同过程中如发生纠纷,甲、乙双方应及时协商解决，如协商不成，双方均有权向甲方住所地法院诉讼解决。</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十一、违约责任： 因乙方不能按照合同约定要求满足甲方需求，每延误一次，乙方承担违约金1000元 。       </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十二、合同的生效和终止。</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1本合同经甲、乙双方法定代表人或其委托人签字盖章后生效，维保期限为1年。采购过程中有关澄清文件、承诺书等均为本合同的组成部分，与本合同具有同等效力。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2本合同一式肆份，甲方、乙方各执两份。</w:t>
      </w:r>
    </w:p>
    <w:p>
      <w:pPr>
        <w:pageBreakBefore w:val="0"/>
        <w:kinsoku/>
        <w:wordWrap/>
        <w:topLinePunct w:val="0"/>
        <w:bidi w:val="0"/>
        <w:spacing w:line="360" w:lineRule="auto"/>
        <w:rPr>
          <w:rFonts w:hint="eastAsia" w:ascii="仿宋" w:hAnsi="仿宋" w:eastAsia="仿宋" w:cs="仿宋"/>
          <w:sz w:val="24"/>
          <w:szCs w:val="24"/>
          <w:lang w:val="en-US" w:eastAsia="zh-CN"/>
        </w:rPr>
      </w:pPr>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b/>
          <w:color w:val="000000"/>
          <w:kern w:val="0"/>
          <w:sz w:val="32"/>
          <w:szCs w:val="32"/>
          <w:lang w:val="en-US" w:eastAsia="zh-CN" w:bidi="ar"/>
        </w:rPr>
      </w:pPr>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2023年汽轮机维保服务采购项目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2023年临江公司汽轮机维保服务</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乙方必须接受甲方综管和安环人员的监督、管理和指导，对应急管理部提出的意见必须及时整改；发生人身事故或危及生产运行的不安全情况，应立即通知甲方应急管理部处理。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pageBreakBefore w:val="0"/>
        <w:tabs>
          <w:tab w:val="right" w:leader="dot" w:pos="8738"/>
        </w:tabs>
        <w:kinsoku/>
        <w:wordWrap/>
        <w:topLinePunct w:val="0"/>
        <w:bidi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pageBreakBefore w:val="0"/>
        <w:kinsoku/>
        <w:wordWrap/>
        <w:topLinePunct w:val="0"/>
        <w:bidi w:val="0"/>
        <w:spacing w:line="360" w:lineRule="auto"/>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8"/>
        <w:ind w:left="0" w:leftChars="0" w:firstLine="0" w:firstLineChars="0"/>
        <w:rPr>
          <w:rFonts w:hint="eastAsia"/>
          <w:lang w:val="en-US" w:eastAsia="zh-CN"/>
        </w:rPr>
      </w:pPr>
    </w:p>
    <w:p>
      <w:pPr>
        <w:rPr>
          <w:rFonts w:hint="eastAsia" w:ascii="仿宋" w:hAnsi="仿宋" w:eastAsia="仿宋" w:cs="仿宋"/>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lang w:val="en-US" w:eastAsia="zh-CN"/>
        </w:rPr>
        <w:t xml:space="preserve">     </w:t>
      </w:r>
      <w:r>
        <w:rPr>
          <w:rFonts w:hint="eastAsia" w:ascii="仿宋" w:hAnsi="仿宋" w:eastAsia="仿宋" w:cs="仿宋"/>
          <w:b/>
          <w:kern w:val="0"/>
          <w:sz w:val="30"/>
          <w:szCs w:val="30"/>
          <w:lang w:eastAsia="zh-CN"/>
        </w:rPr>
        <w:t>报价人</w:t>
      </w:r>
      <w:r>
        <w:rPr>
          <w:rFonts w:hint="eastAsia" w:ascii="仿宋" w:hAnsi="仿宋" w:eastAsia="仿宋" w:cs="仿宋"/>
          <w:b/>
          <w:kern w:val="0"/>
          <w:sz w:val="30"/>
          <w:szCs w:val="30"/>
        </w:rPr>
        <w:t>股东信息及出资比例信息表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2482"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股东</w:t>
            </w:r>
          </w:p>
        </w:tc>
        <w:tc>
          <w:tcPr>
            <w:tcW w:w="2881"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lang w:eastAsia="zh-CN"/>
        </w:rPr>
        <w:t>报价人</w:t>
      </w:r>
      <w:r>
        <w:rPr>
          <w:rFonts w:hint="eastAsia" w:ascii="仿宋" w:hAnsi="仿宋" w:eastAsia="仿宋" w:cs="仿宋"/>
          <w:kern w:val="0"/>
          <w:sz w:val="30"/>
          <w:szCs w:val="30"/>
        </w:rPr>
        <w:t>（公章）：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u w:val="single"/>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bCs/>
          <w:sz w:val="30"/>
          <w:szCs w:val="30"/>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管理关系表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5387"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5387" w:type="dxa"/>
            <w:vAlign w:val="center"/>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lang w:eastAsia="zh-CN"/>
        </w:rPr>
        <w:t>报价人</w:t>
      </w:r>
      <w:r>
        <w:rPr>
          <w:rFonts w:hint="eastAsia" w:ascii="仿宋" w:hAnsi="仿宋" w:eastAsia="仿宋" w:cs="仿宋"/>
          <w:kern w:val="0"/>
          <w:sz w:val="30"/>
          <w:szCs w:val="30"/>
        </w:rPr>
        <w:t>（公章）：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kern w:val="0"/>
          <w:sz w:val="24"/>
        </w:rPr>
      </w:pPr>
      <w:r>
        <w:rPr>
          <w:rFonts w:hint="eastAsia" w:ascii="仿宋" w:hAnsi="仿宋" w:eastAsia="仿宋" w:cs="仿宋"/>
          <w:b/>
          <w:kern w:val="0"/>
          <w:sz w:val="24"/>
        </w:rPr>
        <w:t>注：</w:t>
      </w:r>
    </w:p>
    <w:p>
      <w:pPr>
        <w:spacing w:line="360" w:lineRule="auto"/>
        <w:rPr>
          <w:rFonts w:hint="eastAsia" w:ascii="仿宋" w:hAnsi="仿宋" w:eastAsia="仿宋" w:cs="仿宋"/>
          <w:b/>
          <w:kern w:val="0"/>
          <w:sz w:val="24"/>
        </w:rPr>
      </w:pPr>
      <w:r>
        <w:rPr>
          <w:rFonts w:hint="eastAsia" w:ascii="仿宋" w:hAnsi="仿宋" w:eastAsia="仿宋" w:cs="仿宋"/>
          <w:b/>
          <w:kern w:val="0"/>
          <w:sz w:val="24"/>
        </w:rPr>
        <w:t>1、若</w:t>
      </w:r>
      <w:r>
        <w:rPr>
          <w:rFonts w:hint="eastAsia" w:ascii="仿宋" w:hAnsi="仿宋" w:eastAsia="仿宋" w:cs="仿宋"/>
          <w:b/>
          <w:kern w:val="0"/>
          <w:sz w:val="24"/>
          <w:lang w:eastAsia="zh-CN"/>
        </w:rPr>
        <w:t>报价人</w:t>
      </w:r>
      <w:r>
        <w:rPr>
          <w:rFonts w:hint="eastAsia" w:ascii="仿宋" w:hAnsi="仿宋" w:eastAsia="仿宋" w:cs="仿宋"/>
          <w:b/>
          <w:kern w:val="0"/>
          <w:sz w:val="24"/>
        </w:rPr>
        <w:t>为非事业单位，则填写《</w:t>
      </w:r>
      <w:r>
        <w:rPr>
          <w:rFonts w:hint="eastAsia" w:ascii="仿宋" w:hAnsi="仿宋" w:eastAsia="仿宋" w:cs="仿宋"/>
          <w:b/>
          <w:kern w:val="0"/>
          <w:sz w:val="24"/>
          <w:lang w:eastAsia="zh-CN"/>
        </w:rPr>
        <w:t>报价人</w:t>
      </w:r>
      <w:r>
        <w:rPr>
          <w:rFonts w:hint="eastAsia" w:ascii="仿宋" w:hAnsi="仿宋" w:eastAsia="仿宋" w:cs="仿宋"/>
          <w:b/>
          <w:kern w:val="0"/>
          <w:sz w:val="24"/>
        </w:rPr>
        <w:t>股东信息及出资比例信息表》；若</w:t>
      </w:r>
      <w:r>
        <w:rPr>
          <w:rFonts w:hint="eastAsia" w:ascii="仿宋" w:hAnsi="仿宋" w:eastAsia="仿宋" w:cs="仿宋"/>
          <w:b/>
          <w:kern w:val="0"/>
          <w:sz w:val="24"/>
          <w:lang w:eastAsia="zh-CN"/>
        </w:rPr>
        <w:t>报价人</w:t>
      </w:r>
      <w:r>
        <w:rPr>
          <w:rFonts w:hint="eastAsia" w:ascii="仿宋" w:hAnsi="仿宋" w:eastAsia="仿宋" w:cs="仿宋"/>
          <w:b/>
          <w:kern w:val="0"/>
          <w:sz w:val="24"/>
        </w:rPr>
        <w:t>为事业单位，则填写《管理关系表》。</w:t>
      </w:r>
    </w:p>
    <w:p>
      <w:pPr>
        <w:spacing w:line="360" w:lineRule="auto"/>
        <w:rPr>
          <w:rFonts w:hint="eastAsia" w:ascii="仿宋" w:hAnsi="仿宋" w:eastAsia="仿宋" w:cs="仿宋"/>
        </w:rPr>
      </w:pPr>
      <w:r>
        <w:rPr>
          <w:rFonts w:hint="eastAsia" w:ascii="仿宋" w:hAnsi="仿宋" w:eastAsia="仿宋" w:cs="仿宋"/>
          <w:b/>
          <w:kern w:val="0"/>
          <w:sz w:val="24"/>
        </w:rPr>
        <w:t>2、若</w:t>
      </w:r>
      <w:r>
        <w:rPr>
          <w:rFonts w:hint="eastAsia" w:ascii="仿宋" w:hAnsi="仿宋" w:eastAsia="仿宋" w:cs="仿宋"/>
          <w:b/>
          <w:kern w:val="0"/>
          <w:sz w:val="24"/>
          <w:lang w:eastAsia="zh-CN"/>
        </w:rPr>
        <w:t>报价人</w:t>
      </w:r>
      <w:r>
        <w:rPr>
          <w:rFonts w:hint="eastAsia" w:ascii="仿宋" w:hAnsi="仿宋" w:eastAsia="仿宋" w:cs="仿宋"/>
          <w:b/>
          <w:kern w:val="0"/>
          <w:sz w:val="24"/>
        </w:rPr>
        <w:t>未按实际情况填写或填写虚假信息或漏填错填，经评标委员会讨论后，应作废标处理。</w:t>
      </w:r>
    </w:p>
    <w:p>
      <w:pPr>
        <w:pStyle w:val="2"/>
        <w:rPr>
          <w:rFonts w:hint="eastAsia" w:ascii="仿宋" w:hAnsi="仿宋" w:eastAsia="仿宋" w:cs="仿宋"/>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10</w:t>
    </w:r>
    <w:r>
      <w:fldChar w:fldCharType="end"/>
    </w:r>
  </w:p>
  <w:p>
    <w:pPr>
      <w:pStyle w:val="12"/>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102F1"/>
    <w:rsid w:val="008746A5"/>
    <w:rsid w:val="00B574EC"/>
    <w:rsid w:val="012A2737"/>
    <w:rsid w:val="015E5164"/>
    <w:rsid w:val="01A56804"/>
    <w:rsid w:val="01D22213"/>
    <w:rsid w:val="02CF74C7"/>
    <w:rsid w:val="03363C91"/>
    <w:rsid w:val="033D7A41"/>
    <w:rsid w:val="03EC0177"/>
    <w:rsid w:val="04605697"/>
    <w:rsid w:val="04AD18C2"/>
    <w:rsid w:val="05171D1C"/>
    <w:rsid w:val="05D22118"/>
    <w:rsid w:val="06057AB3"/>
    <w:rsid w:val="075D4671"/>
    <w:rsid w:val="08083BE2"/>
    <w:rsid w:val="08192C9E"/>
    <w:rsid w:val="087F6B2F"/>
    <w:rsid w:val="08825D52"/>
    <w:rsid w:val="08C43471"/>
    <w:rsid w:val="09063BE3"/>
    <w:rsid w:val="09714AB2"/>
    <w:rsid w:val="09C946AA"/>
    <w:rsid w:val="09DE631C"/>
    <w:rsid w:val="09FC4E8C"/>
    <w:rsid w:val="0A081EEC"/>
    <w:rsid w:val="0A0C6ADD"/>
    <w:rsid w:val="0A32752C"/>
    <w:rsid w:val="0B221988"/>
    <w:rsid w:val="0B677721"/>
    <w:rsid w:val="0B6A4ABD"/>
    <w:rsid w:val="0B7A7F60"/>
    <w:rsid w:val="0BA6738A"/>
    <w:rsid w:val="0BCC31F9"/>
    <w:rsid w:val="0BEC6FAC"/>
    <w:rsid w:val="0C664690"/>
    <w:rsid w:val="0CC20BBC"/>
    <w:rsid w:val="0CCA0DE9"/>
    <w:rsid w:val="0D1F336B"/>
    <w:rsid w:val="0D3A05AE"/>
    <w:rsid w:val="0D4B1F11"/>
    <w:rsid w:val="0D8C54CA"/>
    <w:rsid w:val="0DA864B6"/>
    <w:rsid w:val="0DC05477"/>
    <w:rsid w:val="0DC35837"/>
    <w:rsid w:val="0DE61498"/>
    <w:rsid w:val="0E43016E"/>
    <w:rsid w:val="0E4A451D"/>
    <w:rsid w:val="0E542111"/>
    <w:rsid w:val="0ECD0260"/>
    <w:rsid w:val="0F271BAF"/>
    <w:rsid w:val="0F9D0EBF"/>
    <w:rsid w:val="0FCF726C"/>
    <w:rsid w:val="10583EE4"/>
    <w:rsid w:val="10E269E8"/>
    <w:rsid w:val="11022023"/>
    <w:rsid w:val="110C39D4"/>
    <w:rsid w:val="11D22462"/>
    <w:rsid w:val="11FE0D43"/>
    <w:rsid w:val="1297576D"/>
    <w:rsid w:val="12BF4C87"/>
    <w:rsid w:val="12E70A09"/>
    <w:rsid w:val="13337456"/>
    <w:rsid w:val="14206329"/>
    <w:rsid w:val="14BE3045"/>
    <w:rsid w:val="14E778FC"/>
    <w:rsid w:val="151C5ACE"/>
    <w:rsid w:val="1564694D"/>
    <w:rsid w:val="15975F51"/>
    <w:rsid w:val="15BA7CA9"/>
    <w:rsid w:val="16506EC0"/>
    <w:rsid w:val="16857DCB"/>
    <w:rsid w:val="16C66BE6"/>
    <w:rsid w:val="17125311"/>
    <w:rsid w:val="172B0457"/>
    <w:rsid w:val="17480362"/>
    <w:rsid w:val="17FC11B3"/>
    <w:rsid w:val="18107945"/>
    <w:rsid w:val="18C220A1"/>
    <w:rsid w:val="19806574"/>
    <w:rsid w:val="198738B2"/>
    <w:rsid w:val="1A126CA4"/>
    <w:rsid w:val="1A2B7D96"/>
    <w:rsid w:val="1A44605A"/>
    <w:rsid w:val="1A530AF8"/>
    <w:rsid w:val="1B1E5081"/>
    <w:rsid w:val="1B25789E"/>
    <w:rsid w:val="1B9B180A"/>
    <w:rsid w:val="1BD33B78"/>
    <w:rsid w:val="1CA1346D"/>
    <w:rsid w:val="1DBB1DEC"/>
    <w:rsid w:val="1E1A21EF"/>
    <w:rsid w:val="1ED826D1"/>
    <w:rsid w:val="1EEB1EAF"/>
    <w:rsid w:val="1F484D62"/>
    <w:rsid w:val="1F5A01B0"/>
    <w:rsid w:val="1FEE11BB"/>
    <w:rsid w:val="1FF42485"/>
    <w:rsid w:val="200143C1"/>
    <w:rsid w:val="203B090D"/>
    <w:rsid w:val="20E53DA9"/>
    <w:rsid w:val="20ED54D0"/>
    <w:rsid w:val="21135480"/>
    <w:rsid w:val="214D7086"/>
    <w:rsid w:val="216D5DDE"/>
    <w:rsid w:val="226F7C8D"/>
    <w:rsid w:val="2369661B"/>
    <w:rsid w:val="23785BDF"/>
    <w:rsid w:val="24130D0C"/>
    <w:rsid w:val="24B02AB7"/>
    <w:rsid w:val="24D82814"/>
    <w:rsid w:val="25784489"/>
    <w:rsid w:val="25B878E3"/>
    <w:rsid w:val="25C9233A"/>
    <w:rsid w:val="261B63FB"/>
    <w:rsid w:val="26D455CD"/>
    <w:rsid w:val="26F76768"/>
    <w:rsid w:val="27220C40"/>
    <w:rsid w:val="273A02F7"/>
    <w:rsid w:val="27A046BC"/>
    <w:rsid w:val="27B06E99"/>
    <w:rsid w:val="288B759B"/>
    <w:rsid w:val="296F669F"/>
    <w:rsid w:val="29F704EF"/>
    <w:rsid w:val="29FB2613"/>
    <w:rsid w:val="2A201066"/>
    <w:rsid w:val="2A6F5228"/>
    <w:rsid w:val="2AC220DE"/>
    <w:rsid w:val="2ADB5E21"/>
    <w:rsid w:val="2ADF08BA"/>
    <w:rsid w:val="2AF53506"/>
    <w:rsid w:val="2B400C25"/>
    <w:rsid w:val="2BF9045D"/>
    <w:rsid w:val="2C62228E"/>
    <w:rsid w:val="2C701096"/>
    <w:rsid w:val="2CB82A3D"/>
    <w:rsid w:val="2CB8313D"/>
    <w:rsid w:val="2D4304C2"/>
    <w:rsid w:val="2DE25FC3"/>
    <w:rsid w:val="2E567BC7"/>
    <w:rsid w:val="2EB2531B"/>
    <w:rsid w:val="2F3D045F"/>
    <w:rsid w:val="2F7235F0"/>
    <w:rsid w:val="2F7B7E9D"/>
    <w:rsid w:val="2F7D3F84"/>
    <w:rsid w:val="2F844FB7"/>
    <w:rsid w:val="2FA80D19"/>
    <w:rsid w:val="2FAC4ADB"/>
    <w:rsid w:val="30E44C6E"/>
    <w:rsid w:val="314A4E32"/>
    <w:rsid w:val="31A64A2F"/>
    <w:rsid w:val="31FF787A"/>
    <w:rsid w:val="320D29C9"/>
    <w:rsid w:val="327F2882"/>
    <w:rsid w:val="32B97BD5"/>
    <w:rsid w:val="331719A3"/>
    <w:rsid w:val="333E3788"/>
    <w:rsid w:val="33574D5E"/>
    <w:rsid w:val="33764ED4"/>
    <w:rsid w:val="338D3BB2"/>
    <w:rsid w:val="34130850"/>
    <w:rsid w:val="34567365"/>
    <w:rsid w:val="34593B84"/>
    <w:rsid w:val="3464504B"/>
    <w:rsid w:val="34AB5B4E"/>
    <w:rsid w:val="34C555EF"/>
    <w:rsid w:val="35295E41"/>
    <w:rsid w:val="35F57B91"/>
    <w:rsid w:val="367C4ADB"/>
    <w:rsid w:val="367D4CB8"/>
    <w:rsid w:val="36801E51"/>
    <w:rsid w:val="36BF504B"/>
    <w:rsid w:val="36DF6E83"/>
    <w:rsid w:val="36F045DC"/>
    <w:rsid w:val="37476D63"/>
    <w:rsid w:val="37AB4837"/>
    <w:rsid w:val="37AE6E07"/>
    <w:rsid w:val="37F831B6"/>
    <w:rsid w:val="38BA7B3D"/>
    <w:rsid w:val="38C87374"/>
    <w:rsid w:val="38FF5F72"/>
    <w:rsid w:val="39082E1D"/>
    <w:rsid w:val="395F5A85"/>
    <w:rsid w:val="396C7A3A"/>
    <w:rsid w:val="3A373D2D"/>
    <w:rsid w:val="3A4477AA"/>
    <w:rsid w:val="3A56210E"/>
    <w:rsid w:val="3A6C4E35"/>
    <w:rsid w:val="3AAB5F59"/>
    <w:rsid w:val="3ACF7D3E"/>
    <w:rsid w:val="3AED7A37"/>
    <w:rsid w:val="3B712589"/>
    <w:rsid w:val="3BAB6723"/>
    <w:rsid w:val="3CE60871"/>
    <w:rsid w:val="3D165B9F"/>
    <w:rsid w:val="3D7933CA"/>
    <w:rsid w:val="3DA75AFA"/>
    <w:rsid w:val="3DAC3CC7"/>
    <w:rsid w:val="3DCD40EE"/>
    <w:rsid w:val="3E16524F"/>
    <w:rsid w:val="3E603844"/>
    <w:rsid w:val="3F2D02B4"/>
    <w:rsid w:val="3F327733"/>
    <w:rsid w:val="3F6B7546"/>
    <w:rsid w:val="3FCC294E"/>
    <w:rsid w:val="403D649A"/>
    <w:rsid w:val="407E15A7"/>
    <w:rsid w:val="40AA3B81"/>
    <w:rsid w:val="40C036D0"/>
    <w:rsid w:val="411C5733"/>
    <w:rsid w:val="416074D3"/>
    <w:rsid w:val="41881E45"/>
    <w:rsid w:val="41ED448D"/>
    <w:rsid w:val="426F07B5"/>
    <w:rsid w:val="42966C7E"/>
    <w:rsid w:val="42C41CE4"/>
    <w:rsid w:val="42F56D32"/>
    <w:rsid w:val="43100126"/>
    <w:rsid w:val="43163FC7"/>
    <w:rsid w:val="43372938"/>
    <w:rsid w:val="43607CCE"/>
    <w:rsid w:val="43FB6154"/>
    <w:rsid w:val="44274621"/>
    <w:rsid w:val="453B6B56"/>
    <w:rsid w:val="453C2397"/>
    <w:rsid w:val="45530393"/>
    <w:rsid w:val="456264AF"/>
    <w:rsid w:val="458978FD"/>
    <w:rsid w:val="460F2506"/>
    <w:rsid w:val="469F7AF8"/>
    <w:rsid w:val="46C0672D"/>
    <w:rsid w:val="46DD20EA"/>
    <w:rsid w:val="47256BF6"/>
    <w:rsid w:val="47331E5D"/>
    <w:rsid w:val="478E7EAB"/>
    <w:rsid w:val="478F3581"/>
    <w:rsid w:val="47B96D86"/>
    <w:rsid w:val="47CC6C94"/>
    <w:rsid w:val="47D615F1"/>
    <w:rsid w:val="48034DA7"/>
    <w:rsid w:val="485C575C"/>
    <w:rsid w:val="48F51E8A"/>
    <w:rsid w:val="499E515C"/>
    <w:rsid w:val="49C91B40"/>
    <w:rsid w:val="49E7480F"/>
    <w:rsid w:val="4A231286"/>
    <w:rsid w:val="4AAB1461"/>
    <w:rsid w:val="4AC609CF"/>
    <w:rsid w:val="4B241572"/>
    <w:rsid w:val="4B2D29F5"/>
    <w:rsid w:val="4B590E71"/>
    <w:rsid w:val="4B754F8E"/>
    <w:rsid w:val="4BFF5B3B"/>
    <w:rsid w:val="4C091F90"/>
    <w:rsid w:val="4C7D53DD"/>
    <w:rsid w:val="4C870D35"/>
    <w:rsid w:val="4CA54934"/>
    <w:rsid w:val="4CDC0FCC"/>
    <w:rsid w:val="4D145E25"/>
    <w:rsid w:val="4D423F31"/>
    <w:rsid w:val="4D590753"/>
    <w:rsid w:val="4DA44BEC"/>
    <w:rsid w:val="4E144298"/>
    <w:rsid w:val="4E224EFA"/>
    <w:rsid w:val="4E376DB9"/>
    <w:rsid w:val="4E716394"/>
    <w:rsid w:val="4F0A3ECF"/>
    <w:rsid w:val="4FA64C4B"/>
    <w:rsid w:val="50244D95"/>
    <w:rsid w:val="502844C8"/>
    <w:rsid w:val="502A7FE2"/>
    <w:rsid w:val="509046C2"/>
    <w:rsid w:val="50B04452"/>
    <w:rsid w:val="512E4723"/>
    <w:rsid w:val="51775E06"/>
    <w:rsid w:val="51842D6A"/>
    <w:rsid w:val="5194614B"/>
    <w:rsid w:val="51D845E4"/>
    <w:rsid w:val="529E4B2F"/>
    <w:rsid w:val="531500DE"/>
    <w:rsid w:val="533444FB"/>
    <w:rsid w:val="53B92A73"/>
    <w:rsid w:val="542C6397"/>
    <w:rsid w:val="54B115C7"/>
    <w:rsid w:val="54C824CF"/>
    <w:rsid w:val="550118EC"/>
    <w:rsid w:val="552E69ED"/>
    <w:rsid w:val="554D61F6"/>
    <w:rsid w:val="557621E3"/>
    <w:rsid w:val="55C176DD"/>
    <w:rsid w:val="55C54FE9"/>
    <w:rsid w:val="55D57BE9"/>
    <w:rsid w:val="55E07717"/>
    <w:rsid w:val="562F3EBC"/>
    <w:rsid w:val="564E1990"/>
    <w:rsid w:val="58080247"/>
    <w:rsid w:val="582B3532"/>
    <w:rsid w:val="584F7343"/>
    <w:rsid w:val="58611C0B"/>
    <w:rsid w:val="58D676C3"/>
    <w:rsid w:val="597265D0"/>
    <w:rsid w:val="598F4BC6"/>
    <w:rsid w:val="59B23710"/>
    <w:rsid w:val="59F9507A"/>
    <w:rsid w:val="59F971DF"/>
    <w:rsid w:val="5A1C766A"/>
    <w:rsid w:val="5A8454B6"/>
    <w:rsid w:val="5AE167FC"/>
    <w:rsid w:val="5AED7D20"/>
    <w:rsid w:val="5C1B1993"/>
    <w:rsid w:val="5C473E4D"/>
    <w:rsid w:val="5C5242AB"/>
    <w:rsid w:val="5C696774"/>
    <w:rsid w:val="5DCF29DF"/>
    <w:rsid w:val="5DEC678F"/>
    <w:rsid w:val="5E785A05"/>
    <w:rsid w:val="5E7932CE"/>
    <w:rsid w:val="5F5A57B1"/>
    <w:rsid w:val="5F92485B"/>
    <w:rsid w:val="60724C55"/>
    <w:rsid w:val="60974A79"/>
    <w:rsid w:val="60DA6D28"/>
    <w:rsid w:val="60EE397D"/>
    <w:rsid w:val="612A3DEE"/>
    <w:rsid w:val="616059E3"/>
    <w:rsid w:val="619C1A0A"/>
    <w:rsid w:val="6207048E"/>
    <w:rsid w:val="626C77AA"/>
    <w:rsid w:val="63805812"/>
    <w:rsid w:val="64566BA9"/>
    <w:rsid w:val="64856097"/>
    <w:rsid w:val="649C599A"/>
    <w:rsid w:val="65535DC7"/>
    <w:rsid w:val="666D606B"/>
    <w:rsid w:val="66B027B6"/>
    <w:rsid w:val="67631F20"/>
    <w:rsid w:val="67B628F5"/>
    <w:rsid w:val="67F66ECB"/>
    <w:rsid w:val="686112EA"/>
    <w:rsid w:val="68BC67E4"/>
    <w:rsid w:val="68CB01DF"/>
    <w:rsid w:val="69F32F6D"/>
    <w:rsid w:val="6A534349"/>
    <w:rsid w:val="6A8D6CDC"/>
    <w:rsid w:val="6A9741FF"/>
    <w:rsid w:val="6AF577DA"/>
    <w:rsid w:val="6B567157"/>
    <w:rsid w:val="6B656B47"/>
    <w:rsid w:val="6B926633"/>
    <w:rsid w:val="6B9919CE"/>
    <w:rsid w:val="6BE15B5F"/>
    <w:rsid w:val="6C1442C8"/>
    <w:rsid w:val="6C714475"/>
    <w:rsid w:val="6CBB22B7"/>
    <w:rsid w:val="6CDB032D"/>
    <w:rsid w:val="6D891EDD"/>
    <w:rsid w:val="6DA73C0F"/>
    <w:rsid w:val="6DDD750E"/>
    <w:rsid w:val="6E5526FF"/>
    <w:rsid w:val="6E7D1CA3"/>
    <w:rsid w:val="6E940676"/>
    <w:rsid w:val="6EB112E2"/>
    <w:rsid w:val="6EB30FA0"/>
    <w:rsid w:val="6F2B1820"/>
    <w:rsid w:val="70092CED"/>
    <w:rsid w:val="70324A53"/>
    <w:rsid w:val="708762AD"/>
    <w:rsid w:val="70E151A0"/>
    <w:rsid w:val="70F44FD7"/>
    <w:rsid w:val="710D0440"/>
    <w:rsid w:val="7123004B"/>
    <w:rsid w:val="71297032"/>
    <w:rsid w:val="71C5585F"/>
    <w:rsid w:val="72032F43"/>
    <w:rsid w:val="72811052"/>
    <w:rsid w:val="74235D34"/>
    <w:rsid w:val="74DA1B78"/>
    <w:rsid w:val="74EA3344"/>
    <w:rsid w:val="769C5DB2"/>
    <w:rsid w:val="76C13171"/>
    <w:rsid w:val="76FD2AF3"/>
    <w:rsid w:val="76FF2D0F"/>
    <w:rsid w:val="7703720B"/>
    <w:rsid w:val="773110F4"/>
    <w:rsid w:val="77A757BA"/>
    <w:rsid w:val="77C02A1F"/>
    <w:rsid w:val="77D476E8"/>
    <w:rsid w:val="784E06B3"/>
    <w:rsid w:val="785C25E1"/>
    <w:rsid w:val="78F32400"/>
    <w:rsid w:val="79054B3F"/>
    <w:rsid w:val="7A0E232D"/>
    <w:rsid w:val="7A500C84"/>
    <w:rsid w:val="7A52326B"/>
    <w:rsid w:val="7A7B39B5"/>
    <w:rsid w:val="7AD95AF6"/>
    <w:rsid w:val="7AFA3202"/>
    <w:rsid w:val="7B074C42"/>
    <w:rsid w:val="7B376834"/>
    <w:rsid w:val="7B626777"/>
    <w:rsid w:val="7BDD6724"/>
    <w:rsid w:val="7C737FE0"/>
    <w:rsid w:val="7C8254B1"/>
    <w:rsid w:val="7CA5124D"/>
    <w:rsid w:val="7CD03426"/>
    <w:rsid w:val="7CE50319"/>
    <w:rsid w:val="7D4F7978"/>
    <w:rsid w:val="7DD14801"/>
    <w:rsid w:val="7DD5413A"/>
    <w:rsid w:val="7DE92515"/>
    <w:rsid w:val="7DF5428B"/>
    <w:rsid w:val="7E135FB4"/>
    <w:rsid w:val="7F5B6E61"/>
    <w:rsid w:val="7F673679"/>
    <w:rsid w:val="7FBA63C9"/>
    <w:rsid w:val="7FF35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2"/>
    <w:basedOn w:val="1"/>
    <w:next w:val="5"/>
    <w:qFormat/>
    <w:uiPriority w:val="0"/>
    <w:pPr>
      <w:keepNext/>
      <w:keepLines/>
      <w:spacing w:before="260" w:after="260" w:line="416"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8"/>
    <w:qFormat/>
    <w:uiPriority w:val="1"/>
    <w:pPr>
      <w:spacing w:after="120" w:afterLines="0"/>
    </w:pPr>
  </w:style>
  <w:style w:type="paragraph" w:styleId="8">
    <w:name w:val="Body Text First Indent"/>
    <w:basedOn w:val="7"/>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9">
    <w:name w:val="Body Text Indent"/>
    <w:basedOn w:val="1"/>
    <w:qFormat/>
    <w:uiPriority w:val="0"/>
    <w:pPr>
      <w:spacing w:line="480" w:lineRule="auto"/>
      <w:ind w:firstLine="600"/>
    </w:pPr>
    <w:rPr>
      <w:sz w:val="28"/>
    </w:rPr>
  </w:style>
  <w:style w:type="paragraph" w:styleId="10">
    <w:name w:val="Plain Text"/>
    <w:basedOn w:val="1"/>
    <w:qFormat/>
    <w:uiPriority w:val="0"/>
    <w:rPr>
      <w:rFonts w:hAnsi="Courier New"/>
      <w:sz w:val="20"/>
    </w:r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3">
    <w:name w:val="标题 1 Char Char"/>
    <w:qFormat/>
    <w:uiPriority w:val="0"/>
    <w:rPr>
      <w:rFonts w:eastAsia="宋体"/>
      <w:b/>
      <w:spacing w:val="-2"/>
      <w:sz w:val="24"/>
      <w:lang w:val="en-US" w:eastAsia="zh-CN"/>
    </w:rPr>
  </w:style>
  <w:style w:type="paragraph" w:customStyle="1" w:styleId="24">
    <w:name w:val="一、标题"/>
    <w:basedOn w:val="1"/>
    <w:qFormat/>
    <w:uiPriority w:val="0"/>
    <w:rPr>
      <w:b/>
      <w:sz w:val="28"/>
    </w:rPr>
  </w:style>
  <w:style w:type="paragraph" w:styleId="25">
    <w:name w:val="List Paragraph"/>
    <w:basedOn w:val="1"/>
    <w:qFormat/>
    <w:uiPriority w:val="34"/>
    <w:pPr>
      <w:ind w:firstLine="420" w:firstLineChars="200"/>
    </w:pPr>
  </w:style>
  <w:style w:type="character" w:customStyle="1" w:styleId="26">
    <w:name w:val="页眉 Char"/>
    <w:basedOn w:val="18"/>
    <w:link w:val="13"/>
    <w:qFormat/>
    <w:uiPriority w:val="0"/>
    <w:rPr>
      <w:kern w:val="2"/>
      <w:sz w:val="18"/>
      <w:szCs w:val="18"/>
    </w:rPr>
  </w:style>
  <w:style w:type="character" w:customStyle="1" w:styleId="27">
    <w:name w:val="批注框文本 Char"/>
    <w:basedOn w:val="18"/>
    <w:link w:val="11"/>
    <w:qFormat/>
    <w:uiPriority w:val="0"/>
    <w:rPr>
      <w:kern w:val="2"/>
      <w:sz w:val="18"/>
      <w:szCs w:val="18"/>
    </w:rPr>
  </w:style>
  <w:style w:type="character" w:customStyle="1" w:styleId="28">
    <w:name w:val="font31"/>
    <w:basedOn w:val="18"/>
    <w:qFormat/>
    <w:uiPriority w:val="0"/>
    <w:rPr>
      <w:rFonts w:hint="eastAsia" w:ascii="宋体" w:hAnsi="宋体" w:eastAsia="宋体" w:cs="宋体"/>
      <w:color w:val="000000"/>
      <w:sz w:val="21"/>
      <w:szCs w:val="21"/>
      <w:u w:val="none"/>
    </w:rPr>
  </w:style>
  <w:style w:type="character" w:customStyle="1" w:styleId="29">
    <w:name w:val="font21"/>
    <w:basedOn w:val="18"/>
    <w:qFormat/>
    <w:uiPriority w:val="0"/>
    <w:rPr>
      <w:rFonts w:hint="default" w:ascii="Arial" w:hAnsi="Arial" w:cs="Arial"/>
      <w:color w:val="000000"/>
      <w:sz w:val="21"/>
      <w:szCs w:val="21"/>
      <w:u w:val="none"/>
    </w:rPr>
  </w:style>
  <w:style w:type="paragraph" w:customStyle="1" w:styleId="30">
    <w:name w:val="列出段落1"/>
    <w:basedOn w:val="1"/>
    <w:qFormat/>
    <w:uiPriority w:val="34"/>
    <w:pPr>
      <w:ind w:firstLine="420" w:firstLineChars="200"/>
    </w:pPr>
  </w:style>
  <w:style w:type="character" w:customStyle="1" w:styleId="31">
    <w:name w:val="font01"/>
    <w:basedOn w:val="18"/>
    <w:qFormat/>
    <w:uiPriority w:val="0"/>
    <w:rPr>
      <w:rFonts w:hint="default" w:ascii="Times New Roman" w:hAnsi="Times New Roman" w:cs="Times New Roman"/>
      <w:color w:val="000000"/>
      <w:sz w:val="21"/>
      <w:szCs w:val="21"/>
      <w:u w:val="none"/>
    </w:rPr>
  </w:style>
  <w:style w:type="character" w:customStyle="1" w:styleId="32">
    <w:name w:val="font11"/>
    <w:basedOn w:val="18"/>
    <w:qFormat/>
    <w:uiPriority w:val="0"/>
    <w:rPr>
      <w:rFonts w:ascii="Arial" w:hAnsi="Arial" w:cs="Arial"/>
      <w:color w:val="000000"/>
      <w:sz w:val="16"/>
      <w:szCs w:val="16"/>
      <w:u w:val="none"/>
    </w:rPr>
  </w:style>
  <w:style w:type="character" w:customStyle="1" w:styleId="33">
    <w:name w:val="font41"/>
    <w:basedOn w:val="18"/>
    <w:qFormat/>
    <w:uiPriority w:val="0"/>
    <w:rPr>
      <w:rFonts w:hint="default" w:ascii="Times New Roman" w:hAnsi="Times New Roman" w:cs="Times New Roman"/>
      <w:color w:val="000000"/>
      <w:sz w:val="22"/>
      <w:szCs w:val="22"/>
      <w:u w:val="none"/>
    </w:rPr>
  </w:style>
  <w:style w:type="character" w:customStyle="1" w:styleId="34">
    <w:name w:val="font51"/>
    <w:basedOn w:val="1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49</Pages>
  <Words>20776</Words>
  <Characters>25181</Characters>
  <Lines>53</Lines>
  <Paragraphs>15</Paragraphs>
  <TotalTime>0</TotalTime>
  <ScaleCrop>false</ScaleCrop>
  <LinksUpToDate>false</LinksUpToDate>
  <CharactersWithSpaces>26108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2023-05-17T02:05:06Z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1F71F5A51FA94D70BA43EBBF9DE737EB</vt:lpwstr>
  </property>
</Properties>
</file>